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EEADF" w14:textId="2F1440E0" w:rsidR="00C67ACE" w:rsidRPr="0041285C" w:rsidRDefault="00196128" w:rsidP="00196128">
      <w:pPr>
        <w:jc w:val="center"/>
        <w:rPr>
          <w:rFonts w:ascii="Cambria" w:hAnsi="Cambria"/>
          <w:b/>
          <w:bCs/>
          <w:noProof/>
          <w:sz w:val="28"/>
          <w:szCs w:val="28"/>
        </w:rPr>
      </w:pPr>
      <w:r w:rsidRPr="0041285C">
        <w:rPr>
          <w:rFonts w:ascii="Cambria" w:hAnsi="Cambria"/>
          <w:b/>
          <w:bCs/>
          <w:noProof/>
          <w:sz w:val="28"/>
          <w:szCs w:val="28"/>
        </w:rPr>
        <w:t>Intervensi Multi-Sektor dalam Penanggulangan Stunting: Studi Kasus Pendekatan Terpadu di Daerah Tertinggal</w:t>
      </w:r>
    </w:p>
    <w:p w14:paraId="65B1A455" w14:textId="77777777" w:rsidR="00196128" w:rsidRPr="0041285C" w:rsidRDefault="00196128" w:rsidP="00196128">
      <w:pPr>
        <w:spacing w:line="240" w:lineRule="auto"/>
        <w:jc w:val="center"/>
        <w:rPr>
          <w:rFonts w:ascii="Cambria" w:eastAsiaTheme="minorEastAsia" w:hAnsi="Cambria"/>
          <w:noProof/>
          <w:sz w:val="24"/>
          <w:szCs w:val="24"/>
        </w:rPr>
      </w:pPr>
      <w:r w:rsidRPr="0041285C">
        <w:rPr>
          <w:rFonts w:ascii="Cambria" w:eastAsiaTheme="minorEastAsia" w:hAnsi="Cambria"/>
          <w:noProof/>
          <w:sz w:val="24"/>
          <w:szCs w:val="24"/>
        </w:rPr>
        <w:t>Mochamad Chamim</w:t>
      </w:r>
      <w:r w:rsidRPr="0041285C">
        <w:rPr>
          <w:rFonts w:ascii="Cambria" w:eastAsiaTheme="minorEastAsia" w:hAnsi="Cambria"/>
          <w:noProof/>
          <w:sz w:val="24"/>
          <w:szCs w:val="24"/>
          <w:vertAlign w:val="superscript"/>
        </w:rPr>
        <w:t xml:space="preserve">1 </w:t>
      </w:r>
    </w:p>
    <w:p w14:paraId="6AFA459D" w14:textId="77777777" w:rsidR="00196128" w:rsidRPr="0041285C" w:rsidRDefault="00196128" w:rsidP="00196128">
      <w:pPr>
        <w:spacing w:line="240" w:lineRule="auto"/>
        <w:jc w:val="center"/>
        <w:rPr>
          <w:rFonts w:ascii="Cambria" w:eastAsiaTheme="minorEastAsia" w:hAnsi="Cambria"/>
          <w:i/>
          <w:noProof/>
          <w:sz w:val="24"/>
          <w:szCs w:val="24"/>
        </w:rPr>
      </w:pPr>
      <w:r w:rsidRPr="0041285C">
        <w:rPr>
          <w:rFonts w:ascii="Cambria" w:eastAsiaTheme="minorEastAsia" w:hAnsi="Cambria"/>
          <w:i/>
          <w:noProof/>
          <w:sz w:val="24"/>
          <w:szCs w:val="24"/>
        </w:rPr>
        <w:t>Program Studi Magister Ilmu Pemerintahan, Fakultas Ilmu Sosial dan Politik, Universitas Jenderal Achmad Yani, Jalan Terusan Jenderal Soedirman, Cimahi, Jawa Barat, 40525</w:t>
      </w:r>
    </w:p>
    <w:p w14:paraId="45A575ED" w14:textId="790FA286" w:rsidR="00196128" w:rsidRPr="0041285C" w:rsidRDefault="00196128" w:rsidP="00196128">
      <w:pPr>
        <w:jc w:val="center"/>
        <w:rPr>
          <w:rStyle w:val="Hyperlink"/>
          <w:rFonts w:ascii="Cambria" w:eastAsiaTheme="minorEastAsia" w:hAnsi="Cambria"/>
          <w:noProof/>
          <w:sz w:val="24"/>
          <w:szCs w:val="24"/>
        </w:rPr>
      </w:pPr>
      <w:r w:rsidRPr="0041285C">
        <w:rPr>
          <w:rFonts w:ascii="Cambria" w:eastAsiaTheme="minorEastAsia" w:hAnsi="Cambria"/>
          <w:noProof/>
          <w:sz w:val="24"/>
          <w:szCs w:val="24"/>
        </w:rPr>
        <w:t xml:space="preserve">Alamat email Koresponden: </w:t>
      </w:r>
      <w:hyperlink r:id="rId6" w:history="1">
        <w:r w:rsidRPr="0041285C">
          <w:rPr>
            <w:rStyle w:val="Hyperlink"/>
            <w:rFonts w:ascii="Cambria" w:eastAsiaTheme="minorEastAsia" w:hAnsi="Cambria"/>
            <w:noProof/>
            <w:sz w:val="24"/>
            <w:szCs w:val="24"/>
          </w:rPr>
          <w:t>mochamadchamim2013@gmail.com</w:t>
        </w:r>
      </w:hyperlink>
    </w:p>
    <w:p w14:paraId="67DAF3FA" w14:textId="5859731C" w:rsidR="00196128" w:rsidRPr="0041285C" w:rsidRDefault="00196128" w:rsidP="00196128">
      <w:pPr>
        <w:jc w:val="center"/>
        <w:rPr>
          <w:rFonts w:ascii="Cambria" w:hAnsi="Cambria"/>
          <w:b/>
          <w:bCs/>
          <w:noProof/>
          <w:sz w:val="24"/>
          <w:szCs w:val="24"/>
        </w:rPr>
      </w:pPr>
      <w:r w:rsidRPr="0041285C">
        <w:rPr>
          <w:rFonts w:ascii="Cambria" w:hAnsi="Cambria"/>
          <w:b/>
          <w:bCs/>
          <w:noProof/>
          <w:sz w:val="24"/>
          <w:szCs w:val="24"/>
        </w:rPr>
        <w:t>ABSTRAK</w:t>
      </w:r>
    </w:p>
    <w:p w14:paraId="7AA1DB53" w14:textId="2D90E0EF" w:rsidR="00196128" w:rsidRPr="0041285C" w:rsidRDefault="00196128" w:rsidP="00196128">
      <w:pPr>
        <w:jc w:val="both"/>
        <w:rPr>
          <w:rFonts w:ascii="Cambria" w:hAnsi="Cambria"/>
          <w:noProof/>
          <w:sz w:val="24"/>
          <w:szCs w:val="24"/>
        </w:rPr>
      </w:pPr>
      <w:r w:rsidRPr="0041285C">
        <w:rPr>
          <w:rFonts w:ascii="Cambria" w:hAnsi="Cambria"/>
          <w:noProof/>
          <w:sz w:val="24"/>
          <w:szCs w:val="24"/>
        </w:rPr>
        <w:t xml:space="preserve">Stunting merupakan permasalahan gizi kronis yang berdampak jangka panjang terhadap kualitas sumber daya manusia, terutama di daerah tertinggal yang memiliki keterbatasan akses terhadap layanan dasar. Penelitian ini bertujuan untuk menganalisis efektivitas intervensi multi-sektor dalam penanggulangan stunting melalui studi kasus di Kabupaten Sintang (Kalimantan Barat) dan Provinsi Gorontalo. Pendekatan kualitatif deskriptif digunakan dengan teknik pengumpulan data </w:t>
      </w:r>
      <w:r w:rsidR="006661FF" w:rsidRPr="0041285C">
        <w:rPr>
          <w:rFonts w:ascii="Cambria" w:hAnsi="Cambria"/>
          <w:noProof/>
          <w:sz w:val="24"/>
          <w:szCs w:val="24"/>
        </w:rPr>
        <w:t xml:space="preserve">berupa </w:t>
      </w:r>
      <w:r w:rsidRPr="0041285C">
        <w:rPr>
          <w:rFonts w:ascii="Cambria" w:hAnsi="Cambria"/>
          <w:noProof/>
          <w:sz w:val="24"/>
          <w:szCs w:val="24"/>
        </w:rPr>
        <w:t xml:space="preserve">studi dokumen. Analisis dilakukan menggunakan metode tematik dan kerangka kebijakan </w:t>
      </w:r>
      <w:r w:rsidRPr="0041285C">
        <w:rPr>
          <w:rFonts w:ascii="Cambria" w:hAnsi="Cambria"/>
          <w:i/>
          <w:iCs/>
          <w:noProof/>
          <w:sz w:val="24"/>
          <w:szCs w:val="24"/>
        </w:rPr>
        <w:t>Policy Triangle</w:t>
      </w:r>
      <w:r w:rsidRPr="0041285C">
        <w:rPr>
          <w:rFonts w:ascii="Cambria" w:hAnsi="Cambria"/>
          <w:noProof/>
          <w:sz w:val="24"/>
          <w:szCs w:val="24"/>
        </w:rPr>
        <w:t>. Hasil penelitian menunjukkan bahwa efektivitas intervensi sangat bergantung pada kapasitas tata kelola lokal, model kolaborasi antar sektor, serta keterlibatan masyarakat. Di Kabupaten Sintang, intervensi spesifik berjalan namun masih terkendala infrastruktur dan koordinasi. Sebaliknya, di Gorontalo, pendekatan berbasis komunitas melalui program “Bele Mo’o Sehati” berhasil menurunkan prevalensi stunting sebesar 6,3% dalam dua tahun. Pendekatan pentahelix yang melibatkan tokoh adat, agama, dan media terbukti memperkuat perubahan perilaku masyarakat.</w:t>
      </w:r>
      <w:r w:rsidR="006661FF" w:rsidRPr="0041285C">
        <w:rPr>
          <w:rFonts w:ascii="Cambria" w:hAnsi="Cambria"/>
          <w:noProof/>
          <w:sz w:val="24"/>
          <w:szCs w:val="24"/>
        </w:rPr>
        <w:t xml:space="preserve"> Dari hasil analisis</w:t>
      </w:r>
      <w:r w:rsidRPr="0041285C">
        <w:rPr>
          <w:rFonts w:ascii="Cambria" w:hAnsi="Cambria"/>
          <w:noProof/>
          <w:sz w:val="24"/>
          <w:szCs w:val="24"/>
        </w:rPr>
        <w:t xml:space="preserve"> menegaskan bahwa pendekatan multi-sektor yang terintegrasi dan kontekstual lebih efektif dibandingkan pendekatan sektoral yang terfragmentasi. Rekomendasi kebijakan mencakup penguatan kapasitas kelembagaan desa, fleksibilitas desain program nasional, dan pelibatan aktif masyarakat dalam seluruh tahapan intervensi.</w:t>
      </w:r>
    </w:p>
    <w:p w14:paraId="4AB72D8C" w14:textId="2A3C253C" w:rsidR="00196128" w:rsidRPr="0041285C" w:rsidRDefault="006661FF" w:rsidP="00196128">
      <w:pPr>
        <w:jc w:val="both"/>
        <w:rPr>
          <w:rFonts w:ascii="Cambria" w:hAnsi="Cambria"/>
          <w:noProof/>
          <w:sz w:val="24"/>
          <w:szCs w:val="24"/>
        </w:rPr>
      </w:pPr>
      <w:r w:rsidRPr="0041285C">
        <w:rPr>
          <w:rFonts w:ascii="Cambria" w:hAnsi="Cambria"/>
          <w:noProof/>
          <w:sz w:val="24"/>
          <w:szCs w:val="24"/>
        </w:rPr>
        <w:t>Keyword</w:t>
      </w:r>
      <w:r w:rsidR="00196128" w:rsidRPr="0041285C">
        <w:rPr>
          <w:rFonts w:ascii="Cambria" w:hAnsi="Cambria"/>
          <w:noProof/>
          <w:sz w:val="24"/>
          <w:szCs w:val="24"/>
        </w:rPr>
        <w:t xml:space="preserve"> : </w:t>
      </w:r>
      <w:r w:rsidRPr="0041285C">
        <w:rPr>
          <w:rFonts w:ascii="Cambria" w:hAnsi="Cambria"/>
          <w:noProof/>
          <w:sz w:val="24"/>
          <w:szCs w:val="24"/>
        </w:rPr>
        <w:t>Daerah 3T, Konvergensi, Multi-sektor, Stunting, Tata kelola</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196128" w:rsidRPr="0041285C" w14:paraId="32C3F570" w14:textId="77777777" w:rsidTr="00196128">
        <w:tc>
          <w:tcPr>
            <w:tcW w:w="9016" w:type="dxa"/>
          </w:tcPr>
          <w:p w14:paraId="666B05A2" w14:textId="5C15A6BE" w:rsidR="00196128" w:rsidRPr="0041285C" w:rsidRDefault="00196128" w:rsidP="00196128">
            <w:pPr>
              <w:jc w:val="both"/>
              <w:rPr>
                <w:rFonts w:ascii="Cambria" w:hAnsi="Cambria"/>
                <w:b/>
                <w:bCs/>
                <w:noProof/>
                <w:sz w:val="28"/>
                <w:szCs w:val="28"/>
              </w:rPr>
            </w:pPr>
            <w:r w:rsidRPr="0041285C">
              <w:rPr>
                <w:rFonts w:ascii="Cambria" w:hAnsi="Cambria"/>
                <w:noProof/>
                <w:sz w:val="24"/>
                <w:szCs w:val="24"/>
              </w:rPr>
              <w:t>Mochamad Chamim, 2025. Intervensi Multi-Sektor dalam Penanggulangan Stunting: Studi Kasus Pendekatan Terpadu di Daerah Tertinggal.</w:t>
            </w:r>
          </w:p>
        </w:tc>
      </w:tr>
    </w:tbl>
    <w:p w14:paraId="2AC3870B" w14:textId="3CB1CE78" w:rsidR="006661FF" w:rsidRPr="0041285C" w:rsidRDefault="006661FF" w:rsidP="00196128">
      <w:pPr>
        <w:jc w:val="both"/>
        <w:rPr>
          <w:rFonts w:ascii="Cambria" w:hAnsi="Cambria"/>
          <w:noProof/>
          <w:sz w:val="24"/>
          <w:szCs w:val="24"/>
        </w:rPr>
        <w:sectPr w:rsidR="006661FF" w:rsidRPr="0041285C">
          <w:pgSz w:w="11906" w:h="16838"/>
          <w:pgMar w:top="1440" w:right="1440" w:bottom="1440" w:left="1440" w:header="708" w:footer="708" w:gutter="0"/>
          <w:cols w:space="708"/>
          <w:docGrid w:linePitch="360"/>
        </w:sectPr>
      </w:pPr>
    </w:p>
    <w:p w14:paraId="121C8272" w14:textId="2765406D" w:rsidR="00196128" w:rsidRPr="0041285C" w:rsidRDefault="006661FF" w:rsidP="00196128">
      <w:pPr>
        <w:jc w:val="both"/>
        <w:rPr>
          <w:rFonts w:ascii="Cambria" w:hAnsi="Cambria"/>
          <w:b/>
          <w:bCs/>
          <w:noProof/>
          <w:sz w:val="24"/>
          <w:szCs w:val="24"/>
        </w:rPr>
      </w:pPr>
      <w:r w:rsidRPr="0041285C">
        <w:rPr>
          <w:rFonts w:ascii="Cambria" w:hAnsi="Cambria"/>
          <w:b/>
          <w:bCs/>
          <w:noProof/>
          <w:sz w:val="24"/>
          <w:szCs w:val="24"/>
        </w:rPr>
        <w:lastRenderedPageBreak/>
        <w:t>A. PENDAHULUAN</w:t>
      </w:r>
    </w:p>
    <w:p w14:paraId="7FA0A628" w14:textId="3621609F" w:rsidR="001C291F" w:rsidRPr="0041285C" w:rsidRDefault="001C291F" w:rsidP="001C291F">
      <w:pPr>
        <w:jc w:val="both"/>
        <w:rPr>
          <w:rFonts w:ascii="Cambria" w:hAnsi="Cambria"/>
          <w:noProof/>
          <w:sz w:val="24"/>
          <w:szCs w:val="24"/>
        </w:rPr>
      </w:pPr>
      <w:r w:rsidRPr="0041285C">
        <w:rPr>
          <w:rFonts w:ascii="Cambria" w:hAnsi="Cambria"/>
          <w:noProof/>
          <w:sz w:val="24"/>
          <w:szCs w:val="24"/>
        </w:rPr>
        <w:t xml:space="preserve">Stunting merupakan salah satu tantangan pembangunan manusia yang paling mendesak di Indonesia. Kondisi gagal tumbuh pada anak akibat kekurangan gizi kronis ini tidak hanya berdampak pada tinggi badan yang tidak sesuai usia, tetapi juga memengaruhi perkembangan kognitif, produktivitas jangka panjang, dan kualitas sumber daya manusia (SDM) secara keseluruhan. Berdasarkan data Survei Status Gizi Indonesia (SSGI) tahun 2024, prevalensi stunting nasional telah menurun menjadi 19,8%. Meskipun demikian, angka ini masih jauh dari target ambisius pemerintah untuk mencapai prevalensi 14% pada tahun 2029 (Kementerian Kesehatan RI, 2024). Tantangan terbesar justru terjadi di daerah tertinggal, terutama wilayah 3T (Tertinggal, Terdepan, dan Terluar), yang menunjukkan prevalensi stunting jauh di atas rata-rata nasional. Sebagai contoh, Kabupaten Sintang di Kalimantan Barat mencatat prevalensi stunting sebesar 44,1% pada tahun 2017, mencerminkan ketimpangan akses terhadap layanan dasar, infrastruktur, dan informasi gizi yang memadai (Bappenas, 2018). </w:t>
      </w:r>
    </w:p>
    <w:p w14:paraId="093D6FDD" w14:textId="77777777" w:rsidR="003F7845" w:rsidRPr="0041285C" w:rsidRDefault="001C291F" w:rsidP="001C291F">
      <w:pPr>
        <w:jc w:val="both"/>
        <w:rPr>
          <w:rFonts w:ascii="Cambria" w:hAnsi="Cambria"/>
          <w:noProof/>
          <w:sz w:val="24"/>
          <w:szCs w:val="24"/>
        </w:rPr>
      </w:pPr>
      <w:r w:rsidRPr="0041285C">
        <w:rPr>
          <w:rFonts w:ascii="Cambria" w:hAnsi="Cambria"/>
          <w:noProof/>
          <w:sz w:val="24"/>
          <w:szCs w:val="24"/>
        </w:rPr>
        <w:t xml:space="preserve">Pemerintah Indonesia telah merespons kondisi ini melalui Strategi Nasional Percepatan Penurunan Stunting (Stranas P3S) 2020–2024 dan diperkuat dengan Peraturan Presiden No. 72 Tahun 2021 tentang Percepatan Penurunan Stunting. Strategi ini menekankan pentingnya pendekatan konvergensi lintas sektor, yang mengintegrasikan intervensi dari berbagai sektor seperti kesehatan, pendidikan, sanitasi, perlindungan sosial, dan pembangunan desa. Tujuannya adalah menciptakan sinergi program yang menyasar langsung akar penyebab stunting, baik dari sisi spesifik (intervensi gizi </w:t>
      </w:r>
      <w:r w:rsidRPr="0041285C">
        <w:rPr>
          <w:rFonts w:ascii="Cambria" w:hAnsi="Cambria"/>
          <w:noProof/>
          <w:sz w:val="24"/>
          <w:szCs w:val="24"/>
        </w:rPr>
        <w:t xml:space="preserve">langsung) maupun sensitif (faktor lingkungan dan sosial). Namun, efektivitas pendekatan ini </w:t>
      </w:r>
      <w:r w:rsidR="003F7845" w:rsidRPr="0041285C">
        <w:rPr>
          <w:rFonts w:ascii="Cambria" w:hAnsi="Cambria"/>
          <w:noProof/>
          <w:sz w:val="24"/>
          <w:szCs w:val="24"/>
        </w:rPr>
        <w:t xml:space="preserve">khususnya untuk </w:t>
      </w:r>
      <w:r w:rsidRPr="0041285C">
        <w:rPr>
          <w:rFonts w:ascii="Cambria" w:hAnsi="Cambria"/>
          <w:noProof/>
          <w:sz w:val="24"/>
          <w:szCs w:val="24"/>
        </w:rPr>
        <w:t xml:space="preserve">daerah tertinggal masih menjadi pertanyaan besar. </w:t>
      </w:r>
    </w:p>
    <w:p w14:paraId="5F2BEE8B" w14:textId="431B4BF3" w:rsidR="001C291F" w:rsidRPr="0041285C" w:rsidRDefault="001C291F" w:rsidP="001C291F">
      <w:pPr>
        <w:jc w:val="both"/>
        <w:rPr>
          <w:rFonts w:ascii="Cambria" w:hAnsi="Cambria"/>
          <w:noProof/>
          <w:sz w:val="24"/>
          <w:szCs w:val="24"/>
        </w:rPr>
      </w:pPr>
      <w:r w:rsidRPr="0041285C">
        <w:rPr>
          <w:rFonts w:ascii="Cambria" w:hAnsi="Cambria"/>
          <w:noProof/>
          <w:sz w:val="24"/>
          <w:szCs w:val="24"/>
        </w:rPr>
        <w:t>Banyak studi menunjukkan bahwa implementasi kebijakan seringkali tidak berjalan optimal karena keterbatasan kapasitas kelembagaan, koordinasi antar sektor yang lemah, serta rendahnya partisipasi masyarakat (Maulana, Fajri, &amp; Sari, 2023). Studi oleh Maulana et al. (2023) menunjukkan bahwa intervensi Kementerian Desa melalui fasilitasi dan regulasi cukup efektif di tingkat desa, terutama dalam penguatan peran Kader Pembangunan Manusia (KPM). Sementara itu, Hapsari et al. (2019) mengidentifikasi determinan utama stunting di wilayah 3T, termasuk sanitasi buruk, pola asuh yang tidak memadai, dan rendahnya status gizi ibu. Penelitian oleh Partadisastra dan Octaria (2023) menyoroti pentingnya keselarasan antara kebijakan nasional dan daerah, serta perlunya penguatan kapasitas tata kelola lokal.</w:t>
      </w:r>
    </w:p>
    <w:p w14:paraId="72655F8D" w14:textId="6686D83F" w:rsidR="006661FF" w:rsidRPr="0041285C" w:rsidRDefault="001C291F" w:rsidP="001C291F">
      <w:pPr>
        <w:jc w:val="both"/>
        <w:rPr>
          <w:rFonts w:ascii="Cambria" w:hAnsi="Cambria"/>
          <w:noProof/>
          <w:sz w:val="24"/>
          <w:szCs w:val="24"/>
        </w:rPr>
      </w:pPr>
      <w:r w:rsidRPr="0041285C">
        <w:rPr>
          <w:rFonts w:ascii="Cambria" w:hAnsi="Cambria"/>
          <w:noProof/>
          <w:sz w:val="24"/>
          <w:szCs w:val="24"/>
        </w:rPr>
        <w:t xml:space="preserve">Penelitian ini bertujuan untuk menganalisis efektivitas intervensi multi-sektor dalam penanggulangan stunting di daerah tertinggal, dengan fokus pada studi kasus di Kabupaten Sintang dan Provinsi Gorontalo. </w:t>
      </w:r>
      <w:r w:rsidR="003F7845" w:rsidRPr="0041285C">
        <w:rPr>
          <w:rFonts w:ascii="Cambria" w:hAnsi="Cambria"/>
          <w:noProof/>
          <w:sz w:val="24"/>
          <w:szCs w:val="24"/>
        </w:rPr>
        <w:t>H</w:t>
      </w:r>
      <w:r w:rsidRPr="0041285C">
        <w:rPr>
          <w:rFonts w:ascii="Cambria" w:hAnsi="Cambria"/>
          <w:noProof/>
          <w:sz w:val="24"/>
          <w:szCs w:val="24"/>
        </w:rPr>
        <w:t xml:space="preserve">ipotesis yang dikembangkan dalam penelitian ini adalah bahwa intervensi multi-sektor yang terintegrasi secara konvergen di daerah tertinggal akan lebih efektif dalam menurunkan prevalensi stunting dibandingkan pendekatan sektoral yang terfragmentasi. Dengan kata lain, keberhasilan penanggulangan stunting sangat bergantung pada sejauh mana berbagai sektor dapat bekerja secara sinergis, dengan dukungan kelembagaan yang kuat dan partisipasi aktif masyarakat. Penelitian ini diharapkan dapat memberikan kontribusi empiris terhadap </w:t>
      </w:r>
      <w:r w:rsidRPr="0041285C">
        <w:rPr>
          <w:rFonts w:ascii="Cambria" w:hAnsi="Cambria"/>
          <w:noProof/>
          <w:sz w:val="24"/>
          <w:szCs w:val="24"/>
        </w:rPr>
        <w:lastRenderedPageBreak/>
        <w:t>pengembangan kebijakan stunting yang lebih adaptif terhadap konteks lokal, serta memperkuat argumen bahwa pendekatan lintas sektor bukan hanya pilihan strategis, tetapi juga kebutuhan mendesak dalam menghadapi tantangan pembangunan manusia di Indonesia.</w:t>
      </w:r>
    </w:p>
    <w:p w14:paraId="5E22E424" w14:textId="435E61FB" w:rsidR="003F7845" w:rsidRPr="0041285C" w:rsidRDefault="003F7845" w:rsidP="001C291F">
      <w:pPr>
        <w:jc w:val="both"/>
        <w:rPr>
          <w:rFonts w:ascii="Cambria" w:hAnsi="Cambria"/>
          <w:b/>
          <w:bCs/>
          <w:noProof/>
          <w:sz w:val="24"/>
          <w:szCs w:val="24"/>
        </w:rPr>
      </w:pPr>
      <w:r w:rsidRPr="0041285C">
        <w:rPr>
          <w:rFonts w:ascii="Cambria" w:hAnsi="Cambria"/>
          <w:b/>
          <w:bCs/>
          <w:noProof/>
          <w:sz w:val="24"/>
          <w:szCs w:val="24"/>
        </w:rPr>
        <w:t>B. KERANGKA TEORI</w:t>
      </w:r>
    </w:p>
    <w:p w14:paraId="556AC01F" w14:textId="77777777" w:rsidR="003F7845" w:rsidRPr="0041285C" w:rsidRDefault="003F7845" w:rsidP="003F7845">
      <w:pPr>
        <w:jc w:val="both"/>
        <w:rPr>
          <w:rFonts w:ascii="Cambria" w:hAnsi="Cambria"/>
          <w:noProof/>
          <w:sz w:val="24"/>
          <w:szCs w:val="24"/>
        </w:rPr>
      </w:pPr>
      <w:r w:rsidRPr="0041285C">
        <w:rPr>
          <w:rFonts w:ascii="Cambria" w:hAnsi="Cambria"/>
          <w:noProof/>
          <w:sz w:val="24"/>
          <w:szCs w:val="24"/>
        </w:rPr>
        <w:t>Penelitian ini didasarkan pada beberapa kerangka teori yang saling melengkapi untuk memahami kompleksitas intervensi stunting secara multi-sektor. Pertama, digunakan pendekatan Social Determinants of Health (SDH) yang dikembangkan oleh WHO (2008), yang menekankan bahwa status kesehatan masyarakat, termasuk stunting, sangat dipengaruhi oleh faktor-faktor sosial, ekonomi, dan lingkungan. Dalam konteks ini, kemiskinan, pendidikan ibu, akses terhadap air bersih dan sanitasi, serta ketahanan pangan menjadi determinan utama yang harus ditangani secara lintas sektor (WHO, 2008).</w:t>
      </w:r>
    </w:p>
    <w:p w14:paraId="7B594551" w14:textId="251A8CC1" w:rsidR="003F7845" w:rsidRPr="0041285C" w:rsidRDefault="003F7845" w:rsidP="003F7845">
      <w:pPr>
        <w:jc w:val="both"/>
        <w:rPr>
          <w:rFonts w:ascii="Cambria" w:hAnsi="Cambria"/>
          <w:noProof/>
          <w:sz w:val="24"/>
          <w:szCs w:val="24"/>
        </w:rPr>
      </w:pPr>
      <w:r w:rsidRPr="0041285C">
        <w:rPr>
          <w:rFonts w:ascii="Cambria" w:hAnsi="Cambria"/>
          <w:noProof/>
          <w:sz w:val="24"/>
          <w:szCs w:val="24"/>
        </w:rPr>
        <w:t>Kedua, teori konvergensi program menjadi landasan utama dalam memahami pendekatan pemerintah Indonesia terhadap stunting. Menurut Peraturan Presiden No. 72 Tahun 2021, intervensi penurunan stunting dibagi menjadi dua kategori: intervensi spesifik dan intervensi sensitif. Intervensi spesifik mencakup tindakan langsung terhadap anak dan ibu hamil, seperti pemberian makanan tambahan, imunisasi, dan tablet tambah darah. Sementara itu, intervensi sensitif mencakup sektor non-kesehatan seperti penyediaan air bersih, sanitasi, pendidikan, dan perlindungan social. Konvergensi berarti bahwa kedua jenis intervensi ini harus dilaksanakan secara terkoordinasi oleh berbagai sektor dan tingkatan pemerintahan.</w:t>
      </w:r>
    </w:p>
    <w:p w14:paraId="2AC52F62" w14:textId="77777777" w:rsidR="003F7845" w:rsidRPr="0041285C" w:rsidRDefault="003F7845" w:rsidP="003F7845">
      <w:pPr>
        <w:jc w:val="both"/>
        <w:rPr>
          <w:rFonts w:ascii="Cambria" w:hAnsi="Cambria"/>
          <w:noProof/>
          <w:sz w:val="24"/>
          <w:szCs w:val="24"/>
        </w:rPr>
      </w:pPr>
      <w:r w:rsidRPr="0041285C">
        <w:rPr>
          <w:rFonts w:ascii="Cambria" w:hAnsi="Cambria"/>
          <w:noProof/>
          <w:sz w:val="24"/>
          <w:szCs w:val="24"/>
        </w:rPr>
        <w:t>Ketiga, digunakan model Pentahelix sebagai kerangka kolaborasi antar aktor. Model ini menekankan pentingnya sinergi antara lima unsur utama: pemerintah, akademisi, dunia usaha, masyarakat sipil, dan media massa. Dalam konteks penanggulangan stunting, keterlibatan tokoh agama, tokoh adat, dan organisasi masyarakat sipil terbukti memperkuat efektivitas kampanye perubahan perilaku dan pemantauan program di tingkat akar rumput (UNICEF Indonesia, 2022). Studi oleh Maulana et al. (2023) juga menunjukkan bahwa keberhasilan program stunting di desa sangat bergantung pada peran aktif Kader Pembangunan Manusia (KPM) dan dukungan dari tokoh lokal.</w:t>
      </w:r>
    </w:p>
    <w:p w14:paraId="69B79F49" w14:textId="77777777" w:rsidR="003F7845" w:rsidRPr="0041285C" w:rsidRDefault="003F7845" w:rsidP="003F7845">
      <w:pPr>
        <w:jc w:val="both"/>
        <w:rPr>
          <w:rFonts w:ascii="Cambria" w:hAnsi="Cambria"/>
          <w:noProof/>
          <w:sz w:val="24"/>
          <w:szCs w:val="24"/>
        </w:rPr>
      </w:pPr>
      <w:r w:rsidRPr="0041285C">
        <w:rPr>
          <w:rFonts w:ascii="Cambria" w:hAnsi="Cambria"/>
          <w:noProof/>
          <w:sz w:val="24"/>
          <w:szCs w:val="24"/>
        </w:rPr>
        <w:t>Keempat, teori kapasitas tata kelola lokal menjadi penting untuk memahami variasi keberhasilan antar wilayah. Menurut Grindle (2007), kapasitas tata kelola mencakup kemampuan institusi lokal dalam merancang, mengimplementasikan, dan mengevaluasi kebijakan publik. Dalam konteks stunting, kapasitas ini mencakup kemampuan desa dalam mengalokasikan Dana Desa untuk kegiatan prioritas, mengelola data sasaran, serta membangun koordinasi lintas sektor di tingkat lokal. Studi oleh Partadisastra dan Octaria (2023) menunjukkan bahwa daerah dengan kapasitas kelembagaan yang kuat cenderung lebih berhasil dalam menurunkan angka stunting secara signifikan.</w:t>
      </w:r>
    </w:p>
    <w:p w14:paraId="16E1B440" w14:textId="06969BD0" w:rsidR="003F7845" w:rsidRPr="0041285C" w:rsidRDefault="003F7845" w:rsidP="003F7845">
      <w:pPr>
        <w:jc w:val="both"/>
        <w:rPr>
          <w:rFonts w:ascii="Cambria" w:hAnsi="Cambria"/>
          <w:noProof/>
          <w:sz w:val="24"/>
          <w:szCs w:val="24"/>
        </w:rPr>
      </w:pPr>
      <w:r w:rsidRPr="0041285C">
        <w:rPr>
          <w:rFonts w:ascii="Cambria" w:hAnsi="Cambria"/>
          <w:noProof/>
          <w:sz w:val="24"/>
          <w:szCs w:val="24"/>
        </w:rPr>
        <w:t xml:space="preserve">Dengan menggabungkan keempat kerangka teori ini, penelitian ini berupaya memahami stunting bukan hanya sebagai masalah kesehatan, tetapi sebagai fenomena sosial-politik yang kompleks. Pendekatan multi-sektor yang efektif memerlukan pemahaman mendalam terhadap konteks lokal, dinamika aktor, serta kapasitas </w:t>
      </w:r>
      <w:r w:rsidRPr="0041285C">
        <w:rPr>
          <w:rFonts w:ascii="Cambria" w:hAnsi="Cambria"/>
          <w:noProof/>
          <w:sz w:val="24"/>
          <w:szCs w:val="24"/>
        </w:rPr>
        <w:lastRenderedPageBreak/>
        <w:t>kelembagaan yang mendukung kolaborasi lintas sektor secara berkelanjutan.</w:t>
      </w:r>
    </w:p>
    <w:p w14:paraId="5AE429EA" w14:textId="23AE96D6" w:rsidR="003F7845" w:rsidRPr="0041285C" w:rsidRDefault="003F7845" w:rsidP="003F7845">
      <w:pPr>
        <w:jc w:val="both"/>
        <w:rPr>
          <w:rFonts w:ascii="Cambria" w:hAnsi="Cambria"/>
          <w:b/>
          <w:bCs/>
          <w:noProof/>
          <w:sz w:val="24"/>
          <w:szCs w:val="24"/>
        </w:rPr>
      </w:pPr>
      <w:r w:rsidRPr="0041285C">
        <w:rPr>
          <w:rFonts w:ascii="Cambria" w:hAnsi="Cambria"/>
          <w:b/>
          <w:bCs/>
          <w:noProof/>
          <w:sz w:val="24"/>
          <w:szCs w:val="24"/>
        </w:rPr>
        <w:t>C. METODE PENELITIAN</w:t>
      </w:r>
    </w:p>
    <w:p w14:paraId="28161E61" w14:textId="77777777" w:rsidR="003F7845" w:rsidRPr="0041285C" w:rsidRDefault="003F7845" w:rsidP="003F7845">
      <w:pPr>
        <w:jc w:val="both"/>
        <w:rPr>
          <w:rFonts w:ascii="Cambria" w:hAnsi="Cambria"/>
          <w:noProof/>
          <w:sz w:val="24"/>
          <w:szCs w:val="24"/>
        </w:rPr>
      </w:pPr>
      <w:r w:rsidRPr="0041285C">
        <w:rPr>
          <w:rFonts w:ascii="Cambria" w:hAnsi="Cambria"/>
          <w:noProof/>
          <w:sz w:val="24"/>
          <w:szCs w:val="24"/>
        </w:rPr>
        <w:t>Penelitian ini menggunakan pendekatan kualitatif deskriptif dengan studi kasus di dua wilayah tertinggal, yaitu Kabupaten Sintang di Kalimantan Barat dan Provinsi Gorontalo. Pemilihan lokasi didasarkan pada dua pertimbangan utama: pertama, tingginya prevalensi stunting di wilayah tersebut; dan kedua, adanya inisiatif lokal yang menunjukkan pendekatan multi-sektor yang relatif terstruktur. Rentang waktu analisis mencakup tahun 2022 hingga 2024, untuk menangkap dinamika implementasi program setelah diberlakukannya Peraturan Presiden No. 72 Tahun 2021 tentang Percepatan Penurunan Stunting.</w:t>
      </w:r>
    </w:p>
    <w:p w14:paraId="7398324C" w14:textId="245365DB" w:rsidR="003F7845" w:rsidRPr="0041285C" w:rsidRDefault="003F7845" w:rsidP="003F7845">
      <w:pPr>
        <w:jc w:val="both"/>
        <w:rPr>
          <w:rFonts w:ascii="Cambria" w:hAnsi="Cambria"/>
          <w:noProof/>
          <w:sz w:val="24"/>
          <w:szCs w:val="24"/>
        </w:rPr>
      </w:pPr>
      <w:r w:rsidRPr="0041285C">
        <w:rPr>
          <w:rFonts w:ascii="Cambria" w:hAnsi="Cambria"/>
          <w:noProof/>
          <w:sz w:val="24"/>
          <w:szCs w:val="24"/>
        </w:rPr>
        <w:t>Jenis data yang digunakan yaitu sekunder yang diperoleh dari dokumen kebijakan nasional dan daerah, laporan pelaksanaan program stunting, serta artikel jurnal ilmiah yang relevan.</w:t>
      </w:r>
    </w:p>
    <w:p w14:paraId="7BDD6010" w14:textId="0415A97C" w:rsidR="003F7845" w:rsidRPr="0041285C" w:rsidRDefault="003F7845" w:rsidP="003F7845">
      <w:pPr>
        <w:jc w:val="both"/>
        <w:rPr>
          <w:rFonts w:ascii="Cambria" w:hAnsi="Cambria"/>
          <w:noProof/>
          <w:sz w:val="24"/>
          <w:szCs w:val="24"/>
        </w:rPr>
      </w:pPr>
      <w:r w:rsidRPr="0041285C">
        <w:rPr>
          <w:rFonts w:ascii="Cambria" w:hAnsi="Cambria"/>
          <w:noProof/>
          <w:sz w:val="24"/>
          <w:szCs w:val="24"/>
        </w:rPr>
        <w:t xml:space="preserve">Metode analisis yang digunakan adalah analisis tematik, dengan mengidentifikasi pola-pola utama dalam pelaksanaan intervensi multi-sektor. Data dianalisis menggunakan pendekatan triangulasi, yaitu membandingkan informasi dari berbagai sumber untuk meningkatkan validitas temuan. Selain itu, digunakan kerangka analisis kebijakan </w:t>
      </w:r>
      <w:r w:rsidRPr="0041285C">
        <w:rPr>
          <w:rFonts w:ascii="Cambria" w:hAnsi="Cambria"/>
          <w:i/>
          <w:iCs/>
          <w:noProof/>
          <w:sz w:val="24"/>
          <w:szCs w:val="24"/>
        </w:rPr>
        <w:t>Policy Triangle</w:t>
      </w:r>
      <w:r w:rsidRPr="0041285C">
        <w:rPr>
          <w:rFonts w:ascii="Cambria" w:hAnsi="Cambria"/>
          <w:noProof/>
          <w:sz w:val="24"/>
          <w:szCs w:val="24"/>
        </w:rPr>
        <w:t xml:space="preserve"> dari Walt dan Gilson (1994), yang mencakup empat elemen utama: konteks, aktor, proses, dan isi kebijakan. Pendekatan ini untuk memahami bagaimana kebijakan stunting diterjemahkan ke dalam praktik di tingkat lokal, serta bagaimana interaksi antar aktor memengaruhi efektivitas implementasi.</w:t>
      </w:r>
    </w:p>
    <w:p w14:paraId="2E526997" w14:textId="77777777" w:rsidR="00990CED" w:rsidRPr="0041285C" w:rsidRDefault="00990CED" w:rsidP="003F7845">
      <w:pPr>
        <w:jc w:val="both"/>
        <w:rPr>
          <w:rFonts w:ascii="Cambria" w:hAnsi="Cambria"/>
          <w:b/>
          <w:bCs/>
          <w:noProof/>
          <w:sz w:val="24"/>
          <w:szCs w:val="24"/>
        </w:rPr>
      </w:pPr>
    </w:p>
    <w:p w14:paraId="45A5C0C3" w14:textId="77777777" w:rsidR="00990CED" w:rsidRPr="0041285C" w:rsidRDefault="00990CED" w:rsidP="003F7845">
      <w:pPr>
        <w:jc w:val="both"/>
        <w:rPr>
          <w:rFonts w:ascii="Cambria" w:hAnsi="Cambria"/>
          <w:b/>
          <w:bCs/>
          <w:noProof/>
          <w:sz w:val="24"/>
          <w:szCs w:val="24"/>
        </w:rPr>
      </w:pPr>
    </w:p>
    <w:p w14:paraId="4E13A55B" w14:textId="2AA98D7D" w:rsidR="003F7845" w:rsidRPr="0041285C" w:rsidRDefault="003F7845" w:rsidP="003F7845">
      <w:pPr>
        <w:jc w:val="both"/>
        <w:rPr>
          <w:rFonts w:ascii="Cambria" w:hAnsi="Cambria"/>
          <w:b/>
          <w:bCs/>
          <w:noProof/>
          <w:sz w:val="24"/>
          <w:szCs w:val="24"/>
        </w:rPr>
      </w:pPr>
      <w:r w:rsidRPr="0041285C">
        <w:rPr>
          <w:rFonts w:ascii="Cambria" w:hAnsi="Cambria"/>
          <w:b/>
          <w:bCs/>
          <w:noProof/>
          <w:sz w:val="24"/>
          <w:szCs w:val="24"/>
        </w:rPr>
        <w:t>D. PEMBAHASAN</w:t>
      </w:r>
    </w:p>
    <w:p w14:paraId="154DD08F" w14:textId="3BCCBA2D" w:rsidR="00990CED" w:rsidRPr="0041285C" w:rsidRDefault="00990CED" w:rsidP="00990CED">
      <w:pPr>
        <w:pStyle w:val="ListParagraph"/>
        <w:numPr>
          <w:ilvl w:val="0"/>
          <w:numId w:val="1"/>
        </w:numPr>
        <w:ind w:left="270" w:hanging="270"/>
        <w:jc w:val="both"/>
        <w:rPr>
          <w:rFonts w:ascii="Cambria" w:hAnsi="Cambria"/>
          <w:b/>
          <w:bCs/>
          <w:noProof/>
          <w:sz w:val="24"/>
          <w:szCs w:val="24"/>
        </w:rPr>
      </w:pPr>
      <w:r w:rsidRPr="0041285C">
        <w:rPr>
          <w:rFonts w:ascii="Cambria" w:hAnsi="Cambria"/>
          <w:b/>
          <w:bCs/>
          <w:noProof/>
          <w:sz w:val="24"/>
          <w:szCs w:val="24"/>
        </w:rPr>
        <w:t>Efektivitas Intervensi Multi-Sektor di Kabupaten Sintang</w:t>
      </w:r>
    </w:p>
    <w:p w14:paraId="6546AB0E" w14:textId="77777777" w:rsidR="00990CED" w:rsidRPr="0041285C" w:rsidRDefault="00990CED" w:rsidP="00990CED">
      <w:pPr>
        <w:jc w:val="both"/>
        <w:rPr>
          <w:rFonts w:ascii="Cambria" w:hAnsi="Cambria"/>
          <w:noProof/>
          <w:sz w:val="24"/>
          <w:szCs w:val="24"/>
        </w:rPr>
      </w:pPr>
      <w:r w:rsidRPr="0041285C">
        <w:rPr>
          <w:rFonts w:ascii="Cambria" w:hAnsi="Cambria"/>
          <w:noProof/>
          <w:sz w:val="24"/>
          <w:szCs w:val="24"/>
        </w:rPr>
        <w:t>Studi kasus di wilayah kerja Puskesmas Darajuanti, Kabupaten Sintang, menunjukkan bahwa intervensi multi-sektor telah dilakukan melalui kolaborasi antara dinas kesehatan, pemerintah desa, dan kader pembangunan manusia (KPM). Intervensi spesifik seperti pemberian makanan tambahan, pemantauan tumbuh kembang, dan edukasi gizi dilakukan secara rutin. Namun, intervensi sensitif seperti penyediaan air bersih dan sanitasi masih menghadapi kendala infrastruktur dan pembiayaan.</w:t>
      </w:r>
    </w:p>
    <w:p w14:paraId="631D1F43" w14:textId="34801840" w:rsidR="00990CED" w:rsidRPr="0041285C" w:rsidRDefault="00990CED" w:rsidP="00990CED">
      <w:pPr>
        <w:jc w:val="both"/>
        <w:rPr>
          <w:rFonts w:ascii="Cambria" w:hAnsi="Cambria"/>
          <w:noProof/>
          <w:sz w:val="24"/>
          <w:szCs w:val="24"/>
        </w:rPr>
      </w:pPr>
      <w:r w:rsidRPr="0041285C">
        <w:rPr>
          <w:rFonts w:ascii="Cambria" w:hAnsi="Cambria"/>
          <w:noProof/>
          <w:sz w:val="24"/>
          <w:szCs w:val="24"/>
        </w:rPr>
        <w:t>Hasil penelitian oleh Hapsari et al. (2019) menunjukkan bahwa faktor personal hygiene merupakan determinan paling dominan terhadap kejadian stunting di wilayah ini. Selain itu, pola asuh dan riwayat pemberian ASI eksklusif juga berpengaruh signifikan. Ini menegaskan pentingnya pendekatan lintas sektor yang tidak hanya fokus pada aspek medis, tetapi juga perilaku dan lingkungan.</w:t>
      </w:r>
    </w:p>
    <w:p w14:paraId="6F452BBF" w14:textId="7427B0B7" w:rsidR="00990CED" w:rsidRPr="0041285C" w:rsidRDefault="00990CED" w:rsidP="00990CED">
      <w:pPr>
        <w:pStyle w:val="ListParagraph"/>
        <w:numPr>
          <w:ilvl w:val="0"/>
          <w:numId w:val="1"/>
        </w:numPr>
        <w:ind w:left="270" w:hanging="270"/>
        <w:jc w:val="both"/>
        <w:rPr>
          <w:rFonts w:ascii="Cambria" w:hAnsi="Cambria"/>
          <w:b/>
          <w:bCs/>
          <w:noProof/>
          <w:sz w:val="24"/>
          <w:szCs w:val="24"/>
        </w:rPr>
      </w:pPr>
      <w:r w:rsidRPr="0041285C">
        <w:rPr>
          <w:rFonts w:ascii="Cambria" w:hAnsi="Cambria"/>
          <w:b/>
          <w:bCs/>
          <w:noProof/>
          <w:sz w:val="24"/>
          <w:szCs w:val="24"/>
        </w:rPr>
        <w:t>Model Kolaborasi di Provinsi Gorontalo: Studi Program “Bele Mo’o Sehati”</w:t>
      </w:r>
    </w:p>
    <w:p w14:paraId="4BAC397E" w14:textId="77777777" w:rsidR="00990CED" w:rsidRPr="0041285C" w:rsidRDefault="00990CED" w:rsidP="00990CED">
      <w:pPr>
        <w:jc w:val="both"/>
        <w:rPr>
          <w:rFonts w:ascii="Cambria" w:hAnsi="Cambria"/>
          <w:noProof/>
          <w:sz w:val="24"/>
          <w:szCs w:val="24"/>
        </w:rPr>
      </w:pPr>
      <w:r w:rsidRPr="0041285C">
        <w:rPr>
          <w:rFonts w:ascii="Cambria" w:hAnsi="Cambria"/>
          <w:noProof/>
          <w:sz w:val="24"/>
          <w:szCs w:val="24"/>
        </w:rPr>
        <w:t>Di Provinsi Gorontalo, program “Bele Mo’o Sehati” menjadi contoh praktik baik intervensi berbasis komunitas. Program ini melibatkan tokoh adat, tokoh agama, dan organisasi perempuan dalam kampanye perubahan perilaku gizi. Pendekatan ini memperkuat efektivitas komunikasi interpersonal dan meningkatkan kepatuhan masyarakat terhadap praktik pemberian makan bayi dan anak (PMBA).</w:t>
      </w:r>
    </w:p>
    <w:p w14:paraId="29268166" w14:textId="77777777" w:rsidR="00990CED" w:rsidRPr="0041285C" w:rsidRDefault="00990CED" w:rsidP="00990CED">
      <w:pPr>
        <w:jc w:val="both"/>
        <w:rPr>
          <w:rFonts w:ascii="Cambria" w:hAnsi="Cambria"/>
          <w:noProof/>
          <w:sz w:val="24"/>
          <w:szCs w:val="24"/>
        </w:rPr>
      </w:pPr>
      <w:r w:rsidRPr="0041285C">
        <w:rPr>
          <w:rFonts w:ascii="Cambria" w:hAnsi="Cambria"/>
          <w:noProof/>
          <w:sz w:val="24"/>
          <w:szCs w:val="24"/>
        </w:rPr>
        <w:t xml:space="preserve">UNICEF Indonesia (2022) mencatat bahwa program ini berhasil menurunkan prevalensi stunting sebesar 6,3% dalam dua </w:t>
      </w:r>
      <w:r w:rsidRPr="0041285C">
        <w:rPr>
          <w:rFonts w:ascii="Cambria" w:hAnsi="Cambria"/>
          <w:noProof/>
          <w:sz w:val="24"/>
          <w:szCs w:val="24"/>
        </w:rPr>
        <w:lastRenderedPageBreak/>
        <w:t>tahun melalui pendekatan pentahelix yang melibatkan media lokal dan sektor swasta. Keberhasilan ini menunjukkan bahwa intervensi yang kontekstual dan berbasis budaya lokal dapat memperkuat efektivitas program nasional.</w:t>
      </w:r>
    </w:p>
    <w:p w14:paraId="453EEBBD" w14:textId="03EB9169" w:rsidR="00990CED" w:rsidRPr="0041285C" w:rsidRDefault="00990CED" w:rsidP="00990CED">
      <w:pPr>
        <w:pStyle w:val="ListParagraph"/>
        <w:numPr>
          <w:ilvl w:val="0"/>
          <w:numId w:val="1"/>
        </w:numPr>
        <w:ind w:left="270" w:hanging="270"/>
        <w:jc w:val="both"/>
        <w:rPr>
          <w:rFonts w:ascii="Cambria" w:hAnsi="Cambria"/>
          <w:b/>
          <w:bCs/>
          <w:noProof/>
          <w:sz w:val="24"/>
          <w:szCs w:val="24"/>
        </w:rPr>
      </w:pPr>
      <w:r w:rsidRPr="0041285C">
        <w:rPr>
          <w:rFonts w:ascii="Cambria" w:hAnsi="Cambria"/>
          <w:b/>
          <w:bCs/>
          <w:noProof/>
          <w:sz w:val="24"/>
          <w:szCs w:val="24"/>
        </w:rPr>
        <w:t>Kendala Implementasi: Fragmentasi dan Kapasitas Lokal</w:t>
      </w:r>
    </w:p>
    <w:p w14:paraId="19E688A8" w14:textId="419A244D" w:rsidR="00990CED" w:rsidRPr="0041285C" w:rsidRDefault="00990CED" w:rsidP="00990CED">
      <w:pPr>
        <w:jc w:val="both"/>
        <w:rPr>
          <w:rFonts w:ascii="Cambria" w:hAnsi="Cambria"/>
          <w:noProof/>
          <w:sz w:val="24"/>
          <w:szCs w:val="24"/>
        </w:rPr>
      </w:pPr>
      <w:r w:rsidRPr="0041285C">
        <w:rPr>
          <w:rFonts w:ascii="Cambria" w:hAnsi="Cambria"/>
          <w:noProof/>
          <w:sz w:val="24"/>
          <w:szCs w:val="24"/>
        </w:rPr>
        <w:t>Meskipun pendekatan konvergensi telah menjadi kebijakan nasional, implementasinya di daerah tertinggal masih menghadapi tantangan besar. Studi oleh Maulana et al. (2023) menemukan bahwa koordinasi antar sektor seringkali bersifat formalitas dan belum menyentuh level operasional di desa. Selain itu, kapasitas kelembagaan desa dalam mengelola Dana Desa untuk program stunting masih bervariasi. Tabel perbandingan hasil intervensi dapat dilihat pada Tabel 1.</w:t>
      </w:r>
    </w:p>
    <w:p w14:paraId="7D6E5E54" w14:textId="3F54F4D0" w:rsidR="00990CED" w:rsidRPr="0041285C" w:rsidRDefault="00990CED" w:rsidP="00990CED">
      <w:pPr>
        <w:spacing w:after="0" w:line="240" w:lineRule="auto"/>
        <w:jc w:val="center"/>
        <w:rPr>
          <w:rFonts w:ascii="Cambria" w:hAnsi="Cambria"/>
          <w:noProof/>
          <w:sz w:val="24"/>
          <w:szCs w:val="24"/>
        </w:rPr>
      </w:pPr>
      <w:r w:rsidRPr="0041285C">
        <w:rPr>
          <w:rFonts w:ascii="Cambria" w:hAnsi="Cambria"/>
          <w:noProof/>
          <w:sz w:val="24"/>
          <w:szCs w:val="24"/>
        </w:rPr>
        <w:t>Tabel 1. Perbandingan Intervensi dan Hasil di Dua Lokasi Studi</w:t>
      </w:r>
    </w:p>
    <w:tbl>
      <w:tblPr>
        <w:tblStyle w:val="TableGrid"/>
        <w:tblW w:w="4675" w:type="dxa"/>
        <w:tblLook w:val="04A0" w:firstRow="1" w:lastRow="0" w:firstColumn="1" w:lastColumn="0" w:noHBand="0" w:noVBand="1"/>
      </w:tblPr>
      <w:tblGrid>
        <w:gridCol w:w="1313"/>
        <w:gridCol w:w="1679"/>
        <w:gridCol w:w="1683"/>
      </w:tblGrid>
      <w:tr w:rsidR="00990CED" w:rsidRPr="0041285C" w14:paraId="00B0D079" w14:textId="77777777" w:rsidTr="00990CED">
        <w:tc>
          <w:tcPr>
            <w:tcW w:w="1261" w:type="dxa"/>
            <w:shd w:val="clear" w:color="auto" w:fill="C5E0B3" w:themeFill="accent6" w:themeFillTint="66"/>
          </w:tcPr>
          <w:p w14:paraId="34F8D1CC" w14:textId="1B526937" w:rsidR="00990CED" w:rsidRPr="0041285C" w:rsidRDefault="00990CED" w:rsidP="00990CED">
            <w:pPr>
              <w:jc w:val="both"/>
              <w:rPr>
                <w:rFonts w:ascii="Cambria" w:hAnsi="Cambria"/>
                <w:b/>
                <w:bCs/>
                <w:noProof/>
                <w:sz w:val="24"/>
                <w:szCs w:val="24"/>
              </w:rPr>
            </w:pPr>
            <w:r w:rsidRPr="0041285C">
              <w:rPr>
                <w:rFonts w:ascii="Cambria" w:hAnsi="Cambria"/>
                <w:b/>
                <w:bCs/>
                <w:noProof/>
                <w:sz w:val="24"/>
                <w:szCs w:val="24"/>
              </w:rPr>
              <w:t>Aspek</w:t>
            </w:r>
          </w:p>
        </w:tc>
        <w:tc>
          <w:tcPr>
            <w:tcW w:w="1692" w:type="dxa"/>
            <w:shd w:val="clear" w:color="auto" w:fill="C5E0B3" w:themeFill="accent6" w:themeFillTint="66"/>
          </w:tcPr>
          <w:p w14:paraId="48955E91" w14:textId="4D643FEA" w:rsidR="00990CED" w:rsidRPr="0041285C" w:rsidRDefault="00990CED" w:rsidP="00990CED">
            <w:pPr>
              <w:jc w:val="both"/>
              <w:rPr>
                <w:rFonts w:ascii="Cambria" w:hAnsi="Cambria"/>
                <w:b/>
                <w:bCs/>
                <w:noProof/>
                <w:sz w:val="24"/>
                <w:szCs w:val="24"/>
              </w:rPr>
            </w:pPr>
            <w:r w:rsidRPr="0041285C">
              <w:rPr>
                <w:rFonts w:ascii="Cambria" w:hAnsi="Cambria"/>
                <w:b/>
                <w:bCs/>
                <w:noProof/>
                <w:sz w:val="24"/>
                <w:szCs w:val="24"/>
              </w:rPr>
              <w:t>Kabupaten Sintang</w:t>
            </w:r>
          </w:p>
        </w:tc>
        <w:tc>
          <w:tcPr>
            <w:tcW w:w="1722" w:type="dxa"/>
            <w:shd w:val="clear" w:color="auto" w:fill="C5E0B3" w:themeFill="accent6" w:themeFillTint="66"/>
          </w:tcPr>
          <w:p w14:paraId="2559CA40" w14:textId="7CDDC820" w:rsidR="00990CED" w:rsidRPr="0041285C" w:rsidRDefault="00990CED" w:rsidP="00990CED">
            <w:pPr>
              <w:jc w:val="both"/>
              <w:rPr>
                <w:rFonts w:ascii="Cambria" w:hAnsi="Cambria"/>
                <w:b/>
                <w:bCs/>
                <w:noProof/>
                <w:sz w:val="24"/>
                <w:szCs w:val="24"/>
              </w:rPr>
            </w:pPr>
            <w:r w:rsidRPr="0041285C">
              <w:rPr>
                <w:rFonts w:ascii="Cambria" w:hAnsi="Cambria"/>
                <w:b/>
                <w:bCs/>
                <w:noProof/>
                <w:sz w:val="24"/>
                <w:szCs w:val="24"/>
              </w:rPr>
              <w:t>Provinsi Gorontalo</w:t>
            </w:r>
          </w:p>
        </w:tc>
      </w:tr>
      <w:tr w:rsidR="00990CED" w:rsidRPr="0041285C" w14:paraId="05BAAFC0" w14:textId="77777777" w:rsidTr="00990CED">
        <w:tc>
          <w:tcPr>
            <w:tcW w:w="1261" w:type="dxa"/>
          </w:tcPr>
          <w:p w14:paraId="1A3A4F8E" w14:textId="647251DD" w:rsidR="00990CED" w:rsidRPr="0041285C" w:rsidRDefault="00990CED" w:rsidP="00990CED">
            <w:pPr>
              <w:jc w:val="both"/>
              <w:rPr>
                <w:rFonts w:ascii="Cambria" w:hAnsi="Cambria"/>
                <w:noProof/>
                <w:sz w:val="24"/>
                <w:szCs w:val="24"/>
              </w:rPr>
            </w:pPr>
            <w:r w:rsidRPr="0041285C">
              <w:rPr>
                <w:rFonts w:ascii="Cambria" w:hAnsi="Cambria"/>
                <w:noProof/>
                <w:sz w:val="24"/>
                <w:szCs w:val="24"/>
              </w:rPr>
              <w:t>Fokus Intervensi</w:t>
            </w:r>
          </w:p>
        </w:tc>
        <w:tc>
          <w:tcPr>
            <w:tcW w:w="1692" w:type="dxa"/>
          </w:tcPr>
          <w:p w14:paraId="4A0ACAC3" w14:textId="2B0282BD" w:rsidR="00990CED" w:rsidRPr="0041285C" w:rsidRDefault="00990CED" w:rsidP="00990CED">
            <w:pPr>
              <w:jc w:val="both"/>
              <w:rPr>
                <w:rFonts w:ascii="Cambria" w:hAnsi="Cambria"/>
                <w:noProof/>
                <w:sz w:val="24"/>
                <w:szCs w:val="24"/>
              </w:rPr>
            </w:pPr>
            <w:r w:rsidRPr="0041285C">
              <w:rPr>
                <w:rFonts w:ascii="Cambria" w:hAnsi="Cambria"/>
                <w:noProof/>
                <w:sz w:val="24"/>
                <w:szCs w:val="24"/>
              </w:rPr>
              <w:t>Spesifik (gizi, ASI, pemantauan balita)</w:t>
            </w:r>
          </w:p>
        </w:tc>
        <w:tc>
          <w:tcPr>
            <w:tcW w:w="1722" w:type="dxa"/>
          </w:tcPr>
          <w:p w14:paraId="1B116775" w14:textId="0DDCC207" w:rsidR="00990CED" w:rsidRPr="0041285C" w:rsidRDefault="00990CED" w:rsidP="00990CED">
            <w:pPr>
              <w:jc w:val="both"/>
              <w:rPr>
                <w:rFonts w:ascii="Cambria" w:hAnsi="Cambria"/>
                <w:noProof/>
                <w:sz w:val="24"/>
                <w:szCs w:val="24"/>
              </w:rPr>
            </w:pPr>
            <w:r w:rsidRPr="0041285C">
              <w:rPr>
                <w:rFonts w:ascii="Cambria" w:hAnsi="Cambria"/>
                <w:noProof/>
                <w:sz w:val="24"/>
                <w:szCs w:val="24"/>
              </w:rPr>
              <w:t>Sensitif (perubahan perilaku, budaya lokal)</w:t>
            </w:r>
          </w:p>
        </w:tc>
      </w:tr>
      <w:tr w:rsidR="00990CED" w:rsidRPr="0041285C" w14:paraId="53480CCA" w14:textId="77777777" w:rsidTr="00990CED">
        <w:tc>
          <w:tcPr>
            <w:tcW w:w="1261" w:type="dxa"/>
          </w:tcPr>
          <w:p w14:paraId="65F50DB9" w14:textId="18E09008" w:rsidR="00990CED" w:rsidRPr="0041285C" w:rsidRDefault="00990CED" w:rsidP="00990CED">
            <w:pPr>
              <w:jc w:val="both"/>
              <w:rPr>
                <w:rFonts w:ascii="Cambria" w:hAnsi="Cambria"/>
                <w:noProof/>
                <w:sz w:val="24"/>
                <w:szCs w:val="24"/>
              </w:rPr>
            </w:pPr>
            <w:r w:rsidRPr="0041285C">
              <w:rPr>
                <w:rFonts w:ascii="Cambria" w:hAnsi="Cambria"/>
                <w:noProof/>
                <w:sz w:val="24"/>
                <w:szCs w:val="24"/>
              </w:rPr>
              <w:t>Pihak terlibat</w:t>
            </w:r>
          </w:p>
        </w:tc>
        <w:tc>
          <w:tcPr>
            <w:tcW w:w="1692" w:type="dxa"/>
          </w:tcPr>
          <w:p w14:paraId="051C5C29" w14:textId="1DE1A9F5" w:rsidR="00990CED" w:rsidRPr="0041285C" w:rsidRDefault="00990CED" w:rsidP="00990CED">
            <w:pPr>
              <w:jc w:val="both"/>
              <w:rPr>
                <w:rFonts w:ascii="Cambria" w:hAnsi="Cambria"/>
                <w:noProof/>
                <w:sz w:val="24"/>
                <w:szCs w:val="24"/>
              </w:rPr>
            </w:pPr>
            <w:r w:rsidRPr="0041285C">
              <w:rPr>
                <w:rFonts w:ascii="Cambria" w:hAnsi="Cambria"/>
                <w:noProof/>
                <w:sz w:val="24"/>
                <w:szCs w:val="24"/>
              </w:rPr>
              <w:t>Puskesmas, KPM, pemerintah desa</w:t>
            </w:r>
          </w:p>
        </w:tc>
        <w:tc>
          <w:tcPr>
            <w:tcW w:w="1722" w:type="dxa"/>
          </w:tcPr>
          <w:p w14:paraId="2C083E3A" w14:textId="6D3B961B" w:rsidR="00990CED" w:rsidRPr="0041285C" w:rsidRDefault="00990CED" w:rsidP="00990CED">
            <w:pPr>
              <w:jc w:val="both"/>
              <w:rPr>
                <w:rFonts w:ascii="Cambria" w:hAnsi="Cambria"/>
                <w:noProof/>
                <w:sz w:val="24"/>
                <w:szCs w:val="24"/>
              </w:rPr>
            </w:pPr>
            <w:r w:rsidRPr="0041285C">
              <w:rPr>
                <w:rFonts w:ascii="Cambria" w:hAnsi="Cambria"/>
                <w:noProof/>
                <w:sz w:val="24"/>
                <w:szCs w:val="24"/>
              </w:rPr>
              <w:t>Tokoh adat, agama, media, organisasi perempuan</w:t>
            </w:r>
          </w:p>
        </w:tc>
      </w:tr>
      <w:tr w:rsidR="00990CED" w:rsidRPr="0041285C" w14:paraId="1A0996A1" w14:textId="77777777" w:rsidTr="00990CED">
        <w:tc>
          <w:tcPr>
            <w:tcW w:w="1261" w:type="dxa"/>
          </w:tcPr>
          <w:p w14:paraId="0E1F736F" w14:textId="167D5485" w:rsidR="00990CED" w:rsidRPr="0041285C" w:rsidRDefault="00990CED" w:rsidP="00990CED">
            <w:pPr>
              <w:jc w:val="both"/>
              <w:rPr>
                <w:rFonts w:ascii="Cambria" w:hAnsi="Cambria"/>
                <w:noProof/>
                <w:sz w:val="24"/>
                <w:szCs w:val="24"/>
              </w:rPr>
            </w:pPr>
            <w:r w:rsidRPr="0041285C">
              <w:rPr>
                <w:rFonts w:ascii="Cambria" w:hAnsi="Cambria"/>
                <w:noProof/>
                <w:sz w:val="24"/>
                <w:szCs w:val="24"/>
              </w:rPr>
              <w:t>Tantangan</w:t>
            </w:r>
          </w:p>
        </w:tc>
        <w:tc>
          <w:tcPr>
            <w:tcW w:w="1692" w:type="dxa"/>
          </w:tcPr>
          <w:p w14:paraId="679C18D4" w14:textId="26197C3F" w:rsidR="00990CED" w:rsidRPr="0041285C" w:rsidRDefault="00990CED" w:rsidP="00990CED">
            <w:pPr>
              <w:jc w:val="both"/>
              <w:rPr>
                <w:rFonts w:ascii="Cambria" w:hAnsi="Cambria"/>
                <w:noProof/>
                <w:sz w:val="24"/>
                <w:szCs w:val="24"/>
              </w:rPr>
            </w:pPr>
            <w:r w:rsidRPr="0041285C">
              <w:rPr>
                <w:rFonts w:ascii="Cambria" w:hAnsi="Cambria"/>
                <w:noProof/>
                <w:sz w:val="24"/>
                <w:szCs w:val="24"/>
              </w:rPr>
              <w:t>Infrastruktur, sanitasi, koordinasi sektoral</w:t>
            </w:r>
          </w:p>
        </w:tc>
        <w:tc>
          <w:tcPr>
            <w:tcW w:w="1722" w:type="dxa"/>
          </w:tcPr>
          <w:p w14:paraId="6A715CFF" w14:textId="210DADB3" w:rsidR="00990CED" w:rsidRPr="0041285C" w:rsidRDefault="00990CED" w:rsidP="00990CED">
            <w:pPr>
              <w:jc w:val="both"/>
              <w:rPr>
                <w:rFonts w:ascii="Cambria" w:hAnsi="Cambria"/>
                <w:noProof/>
                <w:sz w:val="24"/>
                <w:szCs w:val="24"/>
              </w:rPr>
            </w:pPr>
            <w:r w:rsidRPr="0041285C">
              <w:rPr>
                <w:rFonts w:ascii="Cambria" w:hAnsi="Cambria"/>
                <w:noProof/>
                <w:sz w:val="24"/>
                <w:szCs w:val="24"/>
              </w:rPr>
              <w:t>Pendanaan, pelatihan kader</w:t>
            </w:r>
          </w:p>
        </w:tc>
      </w:tr>
      <w:tr w:rsidR="00990CED" w:rsidRPr="0041285C" w14:paraId="78B35FD1" w14:textId="77777777" w:rsidTr="00990CED">
        <w:tc>
          <w:tcPr>
            <w:tcW w:w="1261" w:type="dxa"/>
          </w:tcPr>
          <w:p w14:paraId="7CE458DB" w14:textId="4FA69C37" w:rsidR="00990CED" w:rsidRPr="0041285C" w:rsidRDefault="00990CED" w:rsidP="00990CED">
            <w:pPr>
              <w:jc w:val="both"/>
              <w:rPr>
                <w:rFonts w:ascii="Cambria" w:hAnsi="Cambria"/>
                <w:noProof/>
                <w:sz w:val="24"/>
                <w:szCs w:val="24"/>
              </w:rPr>
            </w:pPr>
            <w:r w:rsidRPr="0041285C">
              <w:rPr>
                <w:rFonts w:ascii="Cambria" w:hAnsi="Cambria"/>
                <w:noProof/>
                <w:sz w:val="24"/>
                <w:szCs w:val="24"/>
              </w:rPr>
              <w:t>Hasil</w:t>
            </w:r>
          </w:p>
        </w:tc>
        <w:tc>
          <w:tcPr>
            <w:tcW w:w="1692" w:type="dxa"/>
          </w:tcPr>
          <w:p w14:paraId="5F31B681" w14:textId="65199334" w:rsidR="00990CED" w:rsidRPr="0041285C" w:rsidRDefault="00990CED" w:rsidP="00990CED">
            <w:pPr>
              <w:jc w:val="both"/>
              <w:rPr>
                <w:rFonts w:ascii="Cambria" w:hAnsi="Cambria"/>
                <w:noProof/>
                <w:sz w:val="24"/>
                <w:szCs w:val="24"/>
              </w:rPr>
            </w:pPr>
            <w:r w:rsidRPr="0041285C">
              <w:rPr>
                <w:rFonts w:ascii="Cambria" w:hAnsi="Cambria"/>
                <w:noProof/>
                <w:sz w:val="24"/>
                <w:szCs w:val="24"/>
              </w:rPr>
              <w:t>Penurunan stunting lambat, dominan hygiene</w:t>
            </w:r>
          </w:p>
        </w:tc>
        <w:tc>
          <w:tcPr>
            <w:tcW w:w="1722" w:type="dxa"/>
          </w:tcPr>
          <w:p w14:paraId="113350E7" w14:textId="66CC52D7" w:rsidR="00990CED" w:rsidRPr="0041285C" w:rsidRDefault="00990CED" w:rsidP="00990CED">
            <w:pPr>
              <w:jc w:val="both"/>
              <w:rPr>
                <w:rFonts w:ascii="Cambria" w:hAnsi="Cambria"/>
                <w:noProof/>
                <w:sz w:val="24"/>
                <w:szCs w:val="24"/>
              </w:rPr>
            </w:pPr>
            <w:r w:rsidRPr="0041285C">
              <w:rPr>
                <w:rFonts w:ascii="Cambria" w:hAnsi="Cambria"/>
                <w:noProof/>
                <w:sz w:val="24"/>
                <w:szCs w:val="24"/>
              </w:rPr>
              <w:t>Penurunan 6,3% dalam 2 tahun</w:t>
            </w:r>
          </w:p>
        </w:tc>
      </w:tr>
      <w:tr w:rsidR="00990CED" w:rsidRPr="0041285C" w14:paraId="44529A01" w14:textId="77777777" w:rsidTr="00990CED">
        <w:tc>
          <w:tcPr>
            <w:tcW w:w="1261" w:type="dxa"/>
          </w:tcPr>
          <w:p w14:paraId="57758A7F" w14:textId="31C1D650" w:rsidR="00990CED" w:rsidRPr="0041285C" w:rsidRDefault="00990CED" w:rsidP="00990CED">
            <w:pPr>
              <w:jc w:val="both"/>
              <w:rPr>
                <w:rFonts w:ascii="Cambria" w:hAnsi="Cambria"/>
                <w:noProof/>
                <w:sz w:val="24"/>
                <w:szCs w:val="24"/>
              </w:rPr>
            </w:pPr>
            <w:r w:rsidRPr="0041285C">
              <w:rPr>
                <w:rFonts w:ascii="Cambria" w:hAnsi="Cambria"/>
                <w:noProof/>
                <w:sz w:val="24"/>
                <w:szCs w:val="24"/>
              </w:rPr>
              <w:t>Model Kolaborasi</w:t>
            </w:r>
          </w:p>
        </w:tc>
        <w:tc>
          <w:tcPr>
            <w:tcW w:w="1692" w:type="dxa"/>
          </w:tcPr>
          <w:p w14:paraId="534F1E20" w14:textId="569D9A25" w:rsidR="00990CED" w:rsidRPr="0041285C" w:rsidRDefault="00990CED" w:rsidP="00990CED">
            <w:pPr>
              <w:jc w:val="both"/>
              <w:rPr>
                <w:rFonts w:ascii="Cambria" w:hAnsi="Cambria"/>
                <w:noProof/>
                <w:sz w:val="24"/>
                <w:szCs w:val="24"/>
              </w:rPr>
            </w:pPr>
            <w:r w:rsidRPr="0041285C">
              <w:rPr>
                <w:rFonts w:ascii="Cambria" w:hAnsi="Cambria"/>
                <w:noProof/>
                <w:sz w:val="24"/>
                <w:szCs w:val="24"/>
              </w:rPr>
              <w:t>Formal sektoral</w:t>
            </w:r>
          </w:p>
        </w:tc>
        <w:tc>
          <w:tcPr>
            <w:tcW w:w="1722" w:type="dxa"/>
          </w:tcPr>
          <w:p w14:paraId="1D43925C" w14:textId="387DEE79" w:rsidR="00990CED" w:rsidRPr="0041285C" w:rsidRDefault="00990CED" w:rsidP="00990CED">
            <w:pPr>
              <w:jc w:val="both"/>
              <w:rPr>
                <w:rFonts w:ascii="Cambria" w:hAnsi="Cambria"/>
                <w:noProof/>
                <w:sz w:val="24"/>
                <w:szCs w:val="24"/>
              </w:rPr>
            </w:pPr>
            <w:r w:rsidRPr="0041285C">
              <w:rPr>
                <w:rFonts w:ascii="Cambria" w:hAnsi="Cambria"/>
                <w:noProof/>
                <w:sz w:val="24"/>
                <w:szCs w:val="24"/>
              </w:rPr>
              <w:t>Pentahelix berbasis komunitas</w:t>
            </w:r>
          </w:p>
        </w:tc>
      </w:tr>
    </w:tbl>
    <w:p w14:paraId="78B5C103" w14:textId="68A3DE5A" w:rsidR="00990CED" w:rsidRPr="0041285C" w:rsidRDefault="00990CED" w:rsidP="00990CED">
      <w:pPr>
        <w:jc w:val="both"/>
        <w:rPr>
          <w:rFonts w:ascii="Cambria" w:hAnsi="Cambria"/>
          <w:noProof/>
          <w:sz w:val="24"/>
          <w:szCs w:val="24"/>
        </w:rPr>
      </w:pPr>
    </w:p>
    <w:p w14:paraId="265DF762" w14:textId="77777777" w:rsidR="00990CED" w:rsidRPr="0041285C" w:rsidRDefault="00990CED" w:rsidP="00990CED">
      <w:pPr>
        <w:jc w:val="both"/>
        <w:rPr>
          <w:rFonts w:ascii="Cambria" w:hAnsi="Cambria"/>
          <w:noProof/>
          <w:sz w:val="24"/>
          <w:szCs w:val="24"/>
        </w:rPr>
      </w:pPr>
      <w:r w:rsidRPr="0041285C">
        <w:rPr>
          <w:rFonts w:ascii="Cambria" w:hAnsi="Cambria"/>
          <w:noProof/>
          <w:sz w:val="24"/>
          <w:szCs w:val="24"/>
        </w:rPr>
        <w:t>Analisis oleh Partadisastra dan Octaria (2023) di Kabupaten Bulungan menunjukkan bahwa daerah dengan tata kelola yang baik dan dukungan regulasi lokal (seperti SK TPPS) mampu menurunkan prevalensi stunting hingga 7,68% dalam satu tahun. Ini menegaskan bahwa keberhasilan intervensi sangat bergantung pada kapasitas tata kelola lokal dan komitmen politik daerah.</w:t>
      </w:r>
    </w:p>
    <w:p w14:paraId="4108B407" w14:textId="77777777" w:rsidR="00990CED" w:rsidRPr="0041285C" w:rsidRDefault="00990CED" w:rsidP="00990CED">
      <w:pPr>
        <w:pStyle w:val="ListParagraph"/>
        <w:numPr>
          <w:ilvl w:val="0"/>
          <w:numId w:val="1"/>
        </w:numPr>
        <w:ind w:left="270" w:hanging="270"/>
        <w:jc w:val="both"/>
        <w:rPr>
          <w:rFonts w:ascii="Cambria" w:hAnsi="Cambria"/>
          <w:b/>
          <w:bCs/>
          <w:noProof/>
          <w:sz w:val="24"/>
          <w:szCs w:val="24"/>
        </w:rPr>
      </w:pPr>
      <w:r w:rsidRPr="0041285C">
        <w:rPr>
          <w:rFonts w:ascii="Cambria" w:hAnsi="Cambria"/>
          <w:b/>
          <w:bCs/>
          <w:noProof/>
          <w:sz w:val="24"/>
          <w:szCs w:val="24"/>
        </w:rPr>
        <w:t>Interpretasi dan Implikasi Kebijakan</w:t>
      </w:r>
    </w:p>
    <w:p w14:paraId="05EF4298" w14:textId="77777777" w:rsidR="00990CED" w:rsidRPr="0041285C" w:rsidRDefault="00990CED" w:rsidP="00990CED">
      <w:pPr>
        <w:jc w:val="both"/>
        <w:rPr>
          <w:rFonts w:ascii="Cambria" w:hAnsi="Cambria"/>
          <w:noProof/>
          <w:sz w:val="24"/>
          <w:szCs w:val="24"/>
        </w:rPr>
      </w:pPr>
      <w:r w:rsidRPr="0041285C">
        <w:rPr>
          <w:rFonts w:ascii="Cambria" w:hAnsi="Cambria"/>
          <w:noProof/>
          <w:sz w:val="24"/>
          <w:szCs w:val="24"/>
        </w:rPr>
        <w:t xml:space="preserve">Temuan dari dua lokasi studi menunjukkan bahwa efektivitas intervensi multi-sektor sangat bergantung pada konteks lokal, kapasitas kelembagaan, dan model kolaborasi yang digunakan. Pendekatan yang terlalu teknokratis dan </w:t>
      </w:r>
      <w:r w:rsidRPr="0041285C">
        <w:rPr>
          <w:rFonts w:ascii="Cambria" w:hAnsi="Cambria"/>
          <w:i/>
          <w:iCs/>
          <w:noProof/>
          <w:sz w:val="24"/>
          <w:szCs w:val="24"/>
        </w:rPr>
        <w:t>top-down</w:t>
      </w:r>
      <w:r w:rsidRPr="0041285C">
        <w:rPr>
          <w:rFonts w:ascii="Cambria" w:hAnsi="Cambria"/>
          <w:noProof/>
          <w:sz w:val="24"/>
          <w:szCs w:val="24"/>
        </w:rPr>
        <w:t xml:space="preserve"> cenderung tidak efektif di daerah tertinggal. Sebaliknya, pendekatan yang menggabungkan kearifan lokal, pemberdayaan masyarakat, dan koordinasi lintas sektor yang nyata mampu menghasilkan dampak yang lebih signifikan.</w:t>
      </w:r>
    </w:p>
    <w:p w14:paraId="1BFADF9D" w14:textId="256C846E" w:rsidR="00990CED" w:rsidRPr="0041285C" w:rsidRDefault="00990CED" w:rsidP="00990CED">
      <w:pPr>
        <w:jc w:val="both"/>
        <w:rPr>
          <w:rFonts w:ascii="Cambria" w:hAnsi="Cambria"/>
          <w:noProof/>
          <w:sz w:val="24"/>
          <w:szCs w:val="24"/>
        </w:rPr>
      </w:pPr>
      <w:r w:rsidRPr="0041285C">
        <w:rPr>
          <w:rFonts w:ascii="Cambria" w:hAnsi="Cambria"/>
          <w:noProof/>
          <w:sz w:val="24"/>
          <w:szCs w:val="24"/>
        </w:rPr>
        <w:t>Implikasi kebijakan dari temuan ini adalah perlunya fleksibilitas dalam desain program nasional agar dapat diadaptasi secara kontekstual di tingkat daerah. Selain itu, penguatan kapasitas kelembagaan desa dan pelibatan aktor non-pemerintah harus menjadi bagian integral dari strategi nasional percepatan penurunan stunting.</w:t>
      </w:r>
    </w:p>
    <w:p w14:paraId="4F2132C9" w14:textId="21A932D5" w:rsidR="00F809CD" w:rsidRPr="0041285C" w:rsidRDefault="00F809CD" w:rsidP="00990CED">
      <w:pPr>
        <w:jc w:val="both"/>
        <w:rPr>
          <w:rFonts w:ascii="Cambria" w:hAnsi="Cambria"/>
          <w:b/>
          <w:bCs/>
          <w:noProof/>
          <w:sz w:val="24"/>
          <w:szCs w:val="24"/>
        </w:rPr>
      </w:pPr>
      <w:r w:rsidRPr="0041285C">
        <w:rPr>
          <w:rFonts w:ascii="Cambria" w:hAnsi="Cambria"/>
          <w:b/>
          <w:bCs/>
          <w:noProof/>
          <w:sz w:val="24"/>
          <w:szCs w:val="24"/>
        </w:rPr>
        <w:t>E. SIMPULAN</w:t>
      </w:r>
    </w:p>
    <w:p w14:paraId="3C9F7DCF" w14:textId="21BBBA79" w:rsidR="00F809CD" w:rsidRPr="0041285C" w:rsidRDefault="00F809CD" w:rsidP="00F809CD">
      <w:pPr>
        <w:jc w:val="both"/>
        <w:rPr>
          <w:rFonts w:ascii="Cambria" w:hAnsi="Cambria"/>
          <w:noProof/>
          <w:sz w:val="24"/>
          <w:szCs w:val="24"/>
        </w:rPr>
      </w:pPr>
      <w:r w:rsidRPr="0041285C">
        <w:rPr>
          <w:rFonts w:ascii="Cambria" w:hAnsi="Cambria"/>
          <w:noProof/>
          <w:sz w:val="24"/>
          <w:szCs w:val="24"/>
        </w:rPr>
        <w:t xml:space="preserve">Penelitian ini menunjukkan bahwa intervensi multi-sektor dalam penanggulangan stunting di daerah tertinggal memiliki potensi besar untuk menurunkan prevalensi stunting secara signifikan, asalkan dilakukan secara konvergen, kontekstual, dan berbasis komunitas. Studi kasus di Kabupaten Sintang dan Provinsi Gorontalo mengungkapkan bahwa keberhasilan </w:t>
      </w:r>
      <w:r w:rsidRPr="0041285C">
        <w:rPr>
          <w:rFonts w:ascii="Cambria" w:hAnsi="Cambria"/>
          <w:noProof/>
          <w:sz w:val="24"/>
          <w:szCs w:val="24"/>
        </w:rPr>
        <w:lastRenderedPageBreak/>
        <w:t>program sangat bergantung pada kapasitas tata kelola lokal, keterlibatan aktor non-pemerintah, serta kemampuan adaptasi terhadap kondisi sosial-budaya setempat.</w:t>
      </w:r>
    </w:p>
    <w:p w14:paraId="730FD165" w14:textId="39ED7538" w:rsidR="00F809CD" w:rsidRPr="0041285C" w:rsidRDefault="00F809CD" w:rsidP="00F809CD">
      <w:pPr>
        <w:jc w:val="both"/>
        <w:rPr>
          <w:rFonts w:ascii="Cambria" w:hAnsi="Cambria"/>
          <w:noProof/>
          <w:sz w:val="24"/>
          <w:szCs w:val="24"/>
        </w:rPr>
      </w:pPr>
      <w:r w:rsidRPr="0041285C">
        <w:rPr>
          <w:rFonts w:ascii="Cambria" w:hAnsi="Cambria"/>
          <w:noProof/>
          <w:sz w:val="24"/>
          <w:szCs w:val="24"/>
        </w:rPr>
        <w:t>Implikasi kebijakan dari temuan ini adalah perlunya fleksibilitas dalam desain program nasional agar dapat diadaptasi secara lokal, serta pentingnya penguatan kapasitas kelembagaan desa dan pelibatan masyarakat dalam setiap tahap intervensi. Penelitian ini juga mendukung hipotesis bahwa pendekatan multi-sektor yang terintegrasi lebih efektif dibandingkan pendekatan sektoral yang terfragmentasi.</w:t>
      </w:r>
    </w:p>
    <w:p w14:paraId="65B6C733" w14:textId="1A95E889" w:rsidR="00781390" w:rsidRPr="0041285C" w:rsidRDefault="00781390" w:rsidP="00F809CD">
      <w:pPr>
        <w:jc w:val="both"/>
        <w:rPr>
          <w:rFonts w:ascii="Cambria" w:hAnsi="Cambria"/>
          <w:b/>
          <w:bCs/>
          <w:noProof/>
          <w:sz w:val="24"/>
          <w:szCs w:val="24"/>
        </w:rPr>
      </w:pPr>
      <w:r w:rsidRPr="0041285C">
        <w:rPr>
          <w:rFonts w:ascii="Cambria" w:hAnsi="Cambria"/>
          <w:b/>
          <w:bCs/>
          <w:noProof/>
          <w:sz w:val="24"/>
          <w:szCs w:val="24"/>
        </w:rPr>
        <w:t>F. DAFTAR PUSTAKA</w:t>
      </w:r>
    </w:p>
    <w:p w14:paraId="588EB6ED" w14:textId="01875A6B" w:rsidR="00781390" w:rsidRPr="0041285C" w:rsidRDefault="00781390" w:rsidP="00781390">
      <w:pPr>
        <w:ind w:left="810" w:hanging="810"/>
        <w:jc w:val="both"/>
        <w:rPr>
          <w:rFonts w:ascii="Cambria" w:hAnsi="Cambria"/>
          <w:noProof/>
          <w:sz w:val="24"/>
          <w:szCs w:val="24"/>
        </w:rPr>
      </w:pPr>
      <w:r w:rsidRPr="0041285C">
        <w:rPr>
          <w:rFonts w:ascii="Cambria" w:hAnsi="Cambria"/>
          <w:noProof/>
          <w:sz w:val="24"/>
          <w:szCs w:val="24"/>
        </w:rPr>
        <w:t xml:space="preserve">Bappenas. (2018). Buku Petunjuk Teknis Aksi 1–2–3 Penurunan Stunting. Jakarta: Kementerian PPN/Bappenas. </w:t>
      </w:r>
      <w:hyperlink r:id="rId7" w:history="1">
        <w:r w:rsidRPr="0041285C">
          <w:rPr>
            <w:rStyle w:val="Hyperlink"/>
            <w:rFonts w:ascii="Cambria" w:hAnsi="Cambria"/>
            <w:noProof/>
            <w:sz w:val="24"/>
            <w:szCs w:val="24"/>
          </w:rPr>
          <w:t>https://stunting.go.id/bappenas-buku-juknis-aksi-1-2-3</w:t>
        </w:r>
      </w:hyperlink>
      <w:r w:rsidRPr="0041285C">
        <w:rPr>
          <w:rFonts w:ascii="Cambria" w:hAnsi="Cambria"/>
          <w:noProof/>
          <w:sz w:val="24"/>
          <w:szCs w:val="24"/>
        </w:rPr>
        <w:t xml:space="preserve"> </w:t>
      </w:r>
    </w:p>
    <w:p w14:paraId="57D059CC" w14:textId="21E8EB74" w:rsidR="00781390" w:rsidRDefault="00781390" w:rsidP="00781390">
      <w:pPr>
        <w:ind w:left="810" w:hanging="810"/>
        <w:jc w:val="both"/>
        <w:rPr>
          <w:rFonts w:ascii="Cambria" w:hAnsi="Cambria"/>
          <w:noProof/>
          <w:sz w:val="24"/>
          <w:szCs w:val="24"/>
        </w:rPr>
      </w:pPr>
      <w:r w:rsidRPr="0041285C">
        <w:rPr>
          <w:rFonts w:ascii="Cambria" w:hAnsi="Cambria"/>
          <w:noProof/>
          <w:sz w:val="24"/>
          <w:szCs w:val="24"/>
        </w:rPr>
        <w:t xml:space="preserve">Hapsari, D. I., et al. (2019). Determinan Kejadian Stunting di Wilayah 3T: Studi Kasus Puskesmas Darajuanti. </w:t>
      </w:r>
      <w:r w:rsidRPr="0041285C">
        <w:rPr>
          <w:rFonts w:ascii="Cambria" w:hAnsi="Cambria"/>
          <w:i/>
          <w:iCs/>
          <w:noProof/>
          <w:sz w:val="24"/>
          <w:szCs w:val="24"/>
        </w:rPr>
        <w:t>Jurnal Publikasi Kesehatan Masyarakat Indonesia</w:t>
      </w:r>
      <w:r w:rsidRPr="0041285C">
        <w:rPr>
          <w:rFonts w:ascii="Cambria" w:hAnsi="Cambria"/>
          <w:noProof/>
          <w:sz w:val="24"/>
          <w:szCs w:val="24"/>
        </w:rPr>
        <w:t xml:space="preserve">, 6(2). </w:t>
      </w:r>
      <w:hyperlink r:id="rId8" w:history="1">
        <w:r w:rsidRPr="0041285C">
          <w:rPr>
            <w:rStyle w:val="Hyperlink"/>
            <w:rFonts w:ascii="Cambria" w:hAnsi="Cambria"/>
            <w:noProof/>
            <w:sz w:val="24"/>
            <w:szCs w:val="24"/>
          </w:rPr>
          <w:t>https://ppjp.ulm.ac.id/journal/index.php/JPKMI/article/view/7456</w:t>
        </w:r>
      </w:hyperlink>
      <w:r w:rsidRPr="0041285C">
        <w:rPr>
          <w:rFonts w:ascii="Cambria" w:hAnsi="Cambria"/>
          <w:noProof/>
          <w:sz w:val="24"/>
          <w:szCs w:val="24"/>
        </w:rPr>
        <w:t xml:space="preserve"> </w:t>
      </w:r>
    </w:p>
    <w:p w14:paraId="1A99541F" w14:textId="39571807" w:rsidR="00781390" w:rsidRDefault="00781390" w:rsidP="00781390">
      <w:pPr>
        <w:ind w:left="810" w:hanging="810"/>
        <w:jc w:val="both"/>
        <w:rPr>
          <w:rFonts w:ascii="Cambria" w:hAnsi="Cambria"/>
          <w:noProof/>
          <w:sz w:val="24"/>
          <w:szCs w:val="24"/>
        </w:rPr>
      </w:pPr>
      <w:r w:rsidRPr="0041285C">
        <w:rPr>
          <w:rFonts w:ascii="Cambria" w:hAnsi="Cambria"/>
          <w:noProof/>
          <w:sz w:val="24"/>
          <w:szCs w:val="24"/>
        </w:rPr>
        <w:t xml:space="preserve">Kementerian Kesehatan RI. (2024). Laporan Hasil SSGI 2024. </w:t>
      </w:r>
      <w:hyperlink r:id="rId9" w:history="1">
        <w:r w:rsidRPr="0041285C">
          <w:rPr>
            <w:rStyle w:val="Hyperlink"/>
            <w:rFonts w:ascii="Cambria" w:hAnsi="Cambria"/>
            <w:noProof/>
            <w:sz w:val="24"/>
            <w:szCs w:val="24"/>
          </w:rPr>
          <w:t>https://stunting.go.id/ssgi-2024-prevalensi-stunting-nasional-turun-jadi-198-capai-angka-di-bawah-proyeksi-bappenas</w:t>
        </w:r>
      </w:hyperlink>
      <w:r w:rsidRPr="0041285C">
        <w:rPr>
          <w:rFonts w:ascii="Cambria" w:hAnsi="Cambria"/>
          <w:noProof/>
          <w:sz w:val="24"/>
          <w:szCs w:val="24"/>
        </w:rPr>
        <w:t xml:space="preserve"> </w:t>
      </w:r>
    </w:p>
    <w:p w14:paraId="5D41989C" w14:textId="4DCF39CA" w:rsidR="00547418" w:rsidRPr="00547418" w:rsidRDefault="00547418" w:rsidP="00781390">
      <w:pPr>
        <w:ind w:left="810" w:hanging="810"/>
        <w:jc w:val="both"/>
        <w:rPr>
          <w:rFonts w:ascii="Cambria" w:hAnsi="Cambria"/>
          <w:noProof/>
          <w:sz w:val="24"/>
          <w:szCs w:val="24"/>
          <w:lang w:val="en-US"/>
        </w:rPr>
      </w:pPr>
      <w:r w:rsidRPr="00547418">
        <w:rPr>
          <w:rFonts w:ascii="Cambria" w:hAnsi="Cambria"/>
          <w:noProof/>
          <w:sz w:val="24"/>
          <w:szCs w:val="24"/>
        </w:rPr>
        <w:t>Kristian, I. (2023). Kebijakan Publik Dan Tantangan Implementasi Di Indonesia. Jurnal Dialektika: Jurnal Ilmu Sosial, 21(2), 88-98.</w:t>
      </w:r>
      <w:r>
        <w:rPr>
          <w:rFonts w:ascii="Cambria" w:hAnsi="Cambria"/>
          <w:noProof/>
          <w:sz w:val="24"/>
          <w:szCs w:val="24"/>
          <w:lang w:val="en-US"/>
        </w:rPr>
        <w:t xml:space="preserve"> </w:t>
      </w:r>
    </w:p>
    <w:p w14:paraId="4463168A" w14:textId="6F0AE561" w:rsidR="00781390" w:rsidRPr="0041285C" w:rsidRDefault="00781390" w:rsidP="00781390">
      <w:pPr>
        <w:ind w:left="810" w:hanging="810"/>
        <w:jc w:val="both"/>
        <w:rPr>
          <w:rFonts w:ascii="Cambria" w:hAnsi="Cambria"/>
          <w:noProof/>
          <w:sz w:val="24"/>
          <w:szCs w:val="24"/>
        </w:rPr>
      </w:pPr>
      <w:r w:rsidRPr="0041285C">
        <w:rPr>
          <w:rFonts w:ascii="Cambria" w:hAnsi="Cambria"/>
          <w:noProof/>
          <w:sz w:val="24"/>
          <w:szCs w:val="24"/>
        </w:rPr>
        <w:t xml:space="preserve">Maulana, F., Silitonga, M. S., &amp; Asropi. (2023). Intervensi Kemendesa dalam Implementasi Kebijakan Penurunan Stunting. </w:t>
      </w:r>
      <w:r w:rsidRPr="0041285C">
        <w:rPr>
          <w:rFonts w:ascii="Cambria" w:hAnsi="Cambria"/>
          <w:i/>
          <w:iCs/>
          <w:noProof/>
          <w:sz w:val="24"/>
          <w:szCs w:val="24"/>
        </w:rPr>
        <w:t xml:space="preserve">Journal </w:t>
      </w:r>
      <w:r w:rsidRPr="0041285C">
        <w:rPr>
          <w:rFonts w:ascii="Cambria" w:hAnsi="Cambria"/>
          <w:i/>
          <w:iCs/>
          <w:noProof/>
          <w:sz w:val="24"/>
          <w:szCs w:val="24"/>
        </w:rPr>
        <w:t>Publicuho</w:t>
      </w:r>
      <w:r w:rsidRPr="0041285C">
        <w:rPr>
          <w:rFonts w:ascii="Cambria" w:hAnsi="Cambria"/>
          <w:noProof/>
          <w:sz w:val="24"/>
          <w:szCs w:val="24"/>
        </w:rPr>
        <w:t xml:space="preserve">. </w:t>
      </w:r>
      <w:hyperlink r:id="rId10" w:history="1">
        <w:r w:rsidRPr="0041285C">
          <w:rPr>
            <w:rStyle w:val="Hyperlink"/>
            <w:rFonts w:ascii="Cambria" w:hAnsi="Cambria"/>
            <w:noProof/>
            <w:sz w:val="24"/>
            <w:szCs w:val="24"/>
          </w:rPr>
          <w:t>https://journalpublicuho.uho.ac.id/index.php/journal/article/download/281/177/2081</w:t>
        </w:r>
      </w:hyperlink>
      <w:r w:rsidRPr="0041285C">
        <w:rPr>
          <w:rFonts w:ascii="Cambria" w:hAnsi="Cambria"/>
          <w:noProof/>
          <w:sz w:val="24"/>
          <w:szCs w:val="24"/>
        </w:rPr>
        <w:t xml:space="preserve"> </w:t>
      </w:r>
    </w:p>
    <w:p w14:paraId="3449298F" w14:textId="652201D2" w:rsidR="00781390" w:rsidRPr="0041285C" w:rsidRDefault="00781390" w:rsidP="00781390">
      <w:pPr>
        <w:ind w:left="810" w:hanging="810"/>
        <w:jc w:val="both"/>
        <w:rPr>
          <w:rFonts w:ascii="Cambria" w:hAnsi="Cambria"/>
          <w:noProof/>
          <w:sz w:val="24"/>
          <w:szCs w:val="24"/>
        </w:rPr>
      </w:pPr>
      <w:r w:rsidRPr="0041285C">
        <w:rPr>
          <w:rFonts w:ascii="Cambria" w:hAnsi="Cambria"/>
          <w:noProof/>
          <w:sz w:val="24"/>
          <w:szCs w:val="24"/>
        </w:rPr>
        <w:t xml:space="preserve">Partadisastra, A. M., &amp; Octaria, Y. C. (2023). Analisis Keselarasan Kebijakan Nasional dan Daerah dalam Penurunan Stunting. </w:t>
      </w:r>
      <w:r w:rsidRPr="0041285C">
        <w:rPr>
          <w:rFonts w:ascii="Cambria" w:hAnsi="Cambria"/>
          <w:i/>
          <w:iCs/>
          <w:noProof/>
          <w:sz w:val="24"/>
          <w:szCs w:val="24"/>
        </w:rPr>
        <w:t>Jurnal Kebijakan Kesehatan Indonesia,</w:t>
      </w:r>
      <w:r w:rsidRPr="0041285C">
        <w:rPr>
          <w:rFonts w:ascii="Cambria" w:hAnsi="Cambria"/>
          <w:noProof/>
          <w:sz w:val="24"/>
          <w:szCs w:val="24"/>
        </w:rPr>
        <w:t xml:space="preserve"> 12(4). </w:t>
      </w:r>
      <w:hyperlink r:id="rId11" w:history="1">
        <w:r w:rsidRPr="0041285C">
          <w:rPr>
            <w:rStyle w:val="Hyperlink"/>
            <w:rFonts w:ascii="Cambria" w:hAnsi="Cambria"/>
            <w:noProof/>
            <w:sz w:val="24"/>
            <w:szCs w:val="24"/>
          </w:rPr>
          <w:t>https://jurnal.ugm.ac.id/jkki/article/download/90281/38122</w:t>
        </w:r>
      </w:hyperlink>
      <w:r w:rsidRPr="0041285C">
        <w:rPr>
          <w:rFonts w:ascii="Cambria" w:hAnsi="Cambria"/>
          <w:noProof/>
          <w:sz w:val="24"/>
          <w:szCs w:val="24"/>
        </w:rPr>
        <w:t xml:space="preserve"> </w:t>
      </w:r>
    </w:p>
    <w:p w14:paraId="35189078" w14:textId="62174EB9" w:rsidR="00781390" w:rsidRDefault="00781390" w:rsidP="00781390">
      <w:pPr>
        <w:ind w:left="810" w:hanging="810"/>
        <w:jc w:val="both"/>
        <w:rPr>
          <w:rFonts w:ascii="Cambria" w:hAnsi="Cambria"/>
          <w:noProof/>
          <w:sz w:val="24"/>
          <w:szCs w:val="24"/>
        </w:rPr>
      </w:pPr>
      <w:r w:rsidRPr="0041285C">
        <w:rPr>
          <w:rFonts w:ascii="Cambria" w:hAnsi="Cambria"/>
          <w:noProof/>
          <w:sz w:val="24"/>
          <w:szCs w:val="24"/>
        </w:rPr>
        <w:t xml:space="preserve">Peraturan Presiden Republik Indonesia Nomor 72 Tahun 2021 tentang Percepatan Penurunan Stunting. </w:t>
      </w:r>
      <w:hyperlink r:id="rId12" w:history="1">
        <w:r w:rsidRPr="0041285C">
          <w:rPr>
            <w:rStyle w:val="Hyperlink"/>
            <w:rFonts w:ascii="Cambria" w:hAnsi="Cambria"/>
            <w:noProof/>
            <w:sz w:val="24"/>
            <w:szCs w:val="24"/>
          </w:rPr>
          <w:t>https://peraturan.bpk.go.id/Home/Details/174964/perpres-no-72-tahun-2021</w:t>
        </w:r>
      </w:hyperlink>
      <w:r w:rsidRPr="0041285C">
        <w:rPr>
          <w:rFonts w:ascii="Cambria" w:hAnsi="Cambria"/>
          <w:noProof/>
          <w:sz w:val="24"/>
          <w:szCs w:val="24"/>
        </w:rPr>
        <w:t xml:space="preserve"> </w:t>
      </w:r>
    </w:p>
    <w:p w14:paraId="33340838" w14:textId="46DA23C7" w:rsidR="00547418" w:rsidRPr="0041285C" w:rsidRDefault="00547418" w:rsidP="00781390">
      <w:pPr>
        <w:ind w:left="810" w:hanging="810"/>
        <w:jc w:val="both"/>
        <w:rPr>
          <w:rFonts w:ascii="Cambria" w:hAnsi="Cambria"/>
          <w:noProof/>
          <w:sz w:val="24"/>
          <w:szCs w:val="24"/>
        </w:rPr>
      </w:pPr>
      <w:r w:rsidRPr="00547418">
        <w:rPr>
          <w:rFonts w:ascii="Cambria" w:hAnsi="Cambria"/>
          <w:noProof/>
          <w:sz w:val="24"/>
          <w:szCs w:val="24"/>
        </w:rPr>
        <w:t>Subagyo, A., Ip, S., Kristian, I., Ip, S., &amp; Kom, S. (2023). Qualitative Research Methods. CV. Aksara Global Akademia.</w:t>
      </w:r>
    </w:p>
    <w:p w14:paraId="78FA39CC" w14:textId="64A451D5" w:rsidR="00781390" w:rsidRPr="0041285C" w:rsidRDefault="00781390" w:rsidP="00781390">
      <w:pPr>
        <w:ind w:left="810" w:hanging="810"/>
        <w:jc w:val="both"/>
        <w:rPr>
          <w:rFonts w:ascii="Cambria" w:hAnsi="Cambria"/>
          <w:noProof/>
          <w:sz w:val="24"/>
          <w:szCs w:val="24"/>
        </w:rPr>
      </w:pPr>
      <w:r w:rsidRPr="0041285C">
        <w:rPr>
          <w:rFonts w:ascii="Cambria" w:hAnsi="Cambria"/>
          <w:noProof/>
          <w:sz w:val="24"/>
          <w:szCs w:val="24"/>
        </w:rPr>
        <w:t xml:space="preserve">UNICEF Indonesia. (2022). Delivering Essential Nutrition Services Through Community Action in Indonesia. </w:t>
      </w:r>
      <w:hyperlink r:id="rId13" w:history="1">
        <w:r w:rsidRPr="0041285C">
          <w:rPr>
            <w:rStyle w:val="Hyperlink"/>
            <w:rFonts w:ascii="Cambria" w:hAnsi="Cambria"/>
            <w:noProof/>
            <w:sz w:val="24"/>
            <w:szCs w:val="24"/>
          </w:rPr>
          <w:t>https://www.unicef.org/indonesia/media/21091/file</w:t>
        </w:r>
      </w:hyperlink>
      <w:r w:rsidRPr="0041285C">
        <w:rPr>
          <w:rFonts w:ascii="Cambria" w:hAnsi="Cambria"/>
          <w:noProof/>
          <w:sz w:val="24"/>
          <w:szCs w:val="24"/>
        </w:rPr>
        <w:t xml:space="preserve"> </w:t>
      </w:r>
    </w:p>
    <w:p w14:paraId="2EE2D3E1" w14:textId="56DBFBC0" w:rsidR="00781390" w:rsidRPr="0041285C" w:rsidRDefault="00781390" w:rsidP="00781390">
      <w:pPr>
        <w:ind w:left="810" w:hanging="810"/>
        <w:jc w:val="both"/>
        <w:rPr>
          <w:rFonts w:ascii="Cambria" w:hAnsi="Cambria"/>
          <w:noProof/>
          <w:sz w:val="24"/>
          <w:szCs w:val="24"/>
        </w:rPr>
      </w:pPr>
      <w:r w:rsidRPr="0041285C">
        <w:rPr>
          <w:rFonts w:ascii="Cambria" w:hAnsi="Cambria"/>
          <w:noProof/>
          <w:sz w:val="24"/>
          <w:szCs w:val="24"/>
        </w:rPr>
        <w:t xml:space="preserve">WHO. (2008). Closing the Gap in a Generation: Health Equity through Action on the Social Determinants of Health. </w:t>
      </w:r>
      <w:hyperlink r:id="rId14" w:history="1">
        <w:r w:rsidRPr="0041285C">
          <w:rPr>
            <w:rStyle w:val="Hyperlink"/>
            <w:rFonts w:ascii="Cambria" w:hAnsi="Cambria"/>
            <w:noProof/>
            <w:sz w:val="24"/>
            <w:szCs w:val="24"/>
          </w:rPr>
          <w:t>https://www.who.int/publications/i/item/WHO-IER-CSDH-08.1</w:t>
        </w:r>
      </w:hyperlink>
      <w:r w:rsidRPr="0041285C">
        <w:rPr>
          <w:rFonts w:ascii="Cambria" w:hAnsi="Cambria"/>
          <w:noProof/>
          <w:sz w:val="24"/>
          <w:szCs w:val="24"/>
        </w:rPr>
        <w:t xml:space="preserve"> </w:t>
      </w:r>
    </w:p>
    <w:p w14:paraId="171EFB31" w14:textId="4CA31E1F" w:rsidR="00781390" w:rsidRPr="0041285C" w:rsidRDefault="00781390" w:rsidP="00781390">
      <w:pPr>
        <w:ind w:left="810" w:hanging="810"/>
        <w:jc w:val="both"/>
        <w:rPr>
          <w:rFonts w:ascii="Cambria" w:hAnsi="Cambria"/>
          <w:noProof/>
          <w:sz w:val="24"/>
          <w:szCs w:val="24"/>
        </w:rPr>
      </w:pPr>
      <w:r w:rsidRPr="0041285C">
        <w:rPr>
          <w:rFonts w:ascii="Cambria" w:hAnsi="Cambria"/>
          <w:noProof/>
          <w:sz w:val="24"/>
          <w:szCs w:val="24"/>
        </w:rPr>
        <w:t xml:space="preserve">Walt, G., &amp; Gilson, L. (1994). Reforming the health sector in developing countries: the central role of policy analysis. </w:t>
      </w:r>
      <w:r w:rsidRPr="0041285C">
        <w:rPr>
          <w:rFonts w:ascii="Cambria" w:hAnsi="Cambria"/>
          <w:i/>
          <w:iCs/>
          <w:noProof/>
          <w:sz w:val="24"/>
          <w:szCs w:val="24"/>
        </w:rPr>
        <w:t>Health Policy and Planning</w:t>
      </w:r>
      <w:r w:rsidRPr="0041285C">
        <w:rPr>
          <w:rFonts w:ascii="Cambria" w:hAnsi="Cambria"/>
          <w:noProof/>
          <w:sz w:val="24"/>
          <w:szCs w:val="24"/>
        </w:rPr>
        <w:t xml:space="preserve">, 9(4), 353–370. </w:t>
      </w:r>
      <w:hyperlink r:id="rId15" w:history="1">
        <w:r w:rsidRPr="0041285C">
          <w:rPr>
            <w:rStyle w:val="Hyperlink"/>
            <w:rFonts w:ascii="Cambria" w:hAnsi="Cambria"/>
            <w:noProof/>
            <w:sz w:val="24"/>
            <w:szCs w:val="24"/>
          </w:rPr>
          <w:t>https://doi.org/10.1093/heapol/9.4.353</w:t>
        </w:r>
      </w:hyperlink>
      <w:r w:rsidRPr="0041285C">
        <w:rPr>
          <w:rFonts w:ascii="Cambria" w:hAnsi="Cambria"/>
          <w:noProof/>
          <w:sz w:val="24"/>
          <w:szCs w:val="24"/>
        </w:rPr>
        <w:t xml:space="preserve"> </w:t>
      </w:r>
    </w:p>
    <w:p w14:paraId="04069C93" w14:textId="51E18C3C" w:rsidR="00781390" w:rsidRPr="0041285C" w:rsidRDefault="00781390" w:rsidP="00781390">
      <w:pPr>
        <w:ind w:left="810" w:hanging="810"/>
        <w:jc w:val="both"/>
        <w:rPr>
          <w:rFonts w:ascii="Cambria" w:hAnsi="Cambria"/>
          <w:noProof/>
          <w:sz w:val="24"/>
          <w:szCs w:val="24"/>
        </w:rPr>
      </w:pPr>
      <w:r w:rsidRPr="0041285C">
        <w:rPr>
          <w:rFonts w:ascii="Cambria" w:hAnsi="Cambria"/>
          <w:noProof/>
          <w:sz w:val="24"/>
          <w:szCs w:val="24"/>
        </w:rPr>
        <w:lastRenderedPageBreak/>
        <w:t xml:space="preserve">Grindle, M. S. (2007). Good Enough Governance Revisited. </w:t>
      </w:r>
      <w:r w:rsidRPr="0041285C">
        <w:rPr>
          <w:rFonts w:ascii="Cambria" w:hAnsi="Cambria"/>
          <w:i/>
          <w:iCs/>
          <w:noProof/>
          <w:sz w:val="24"/>
          <w:szCs w:val="24"/>
        </w:rPr>
        <w:t>Development Policy Review</w:t>
      </w:r>
      <w:r w:rsidRPr="0041285C">
        <w:rPr>
          <w:rFonts w:ascii="Cambria" w:hAnsi="Cambria"/>
          <w:noProof/>
          <w:sz w:val="24"/>
          <w:szCs w:val="24"/>
        </w:rPr>
        <w:t xml:space="preserve">, 25(5), 533–574. </w:t>
      </w:r>
      <w:hyperlink r:id="rId16" w:history="1">
        <w:r w:rsidRPr="0041285C">
          <w:rPr>
            <w:rStyle w:val="Hyperlink"/>
            <w:rFonts w:ascii="Cambria" w:hAnsi="Cambria"/>
            <w:noProof/>
            <w:sz w:val="24"/>
            <w:szCs w:val="24"/>
          </w:rPr>
          <w:t>https://doi.org/10.1111/j.1467-7679.2007.00385.x</w:t>
        </w:r>
      </w:hyperlink>
      <w:r w:rsidRPr="0041285C">
        <w:rPr>
          <w:rFonts w:ascii="Cambria" w:hAnsi="Cambria"/>
          <w:noProof/>
          <w:sz w:val="24"/>
          <w:szCs w:val="24"/>
        </w:rPr>
        <w:t xml:space="preserve"> </w:t>
      </w:r>
    </w:p>
    <w:sectPr w:rsidR="00781390" w:rsidRPr="0041285C" w:rsidSect="00990CED">
      <w:pgSz w:w="11906" w:h="16838"/>
      <w:pgMar w:top="1440" w:right="836"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822BE"/>
    <w:multiLevelType w:val="hybridMultilevel"/>
    <w:tmpl w:val="12083AC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128"/>
    <w:rsid w:val="00152723"/>
    <w:rsid w:val="00196128"/>
    <w:rsid w:val="001C291F"/>
    <w:rsid w:val="0034191D"/>
    <w:rsid w:val="003F7845"/>
    <w:rsid w:val="0041285C"/>
    <w:rsid w:val="00547418"/>
    <w:rsid w:val="006661FF"/>
    <w:rsid w:val="00781390"/>
    <w:rsid w:val="00990CED"/>
    <w:rsid w:val="00C67ACE"/>
    <w:rsid w:val="00F809C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EAB88"/>
  <w15:chartTrackingRefBased/>
  <w15:docId w15:val="{F2AB47AA-244C-4F78-BBA8-55D7B40FE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6128"/>
    <w:rPr>
      <w:color w:val="0563C1" w:themeColor="hyperlink"/>
      <w:u w:val="single"/>
    </w:rPr>
  </w:style>
  <w:style w:type="table" w:styleId="TableGrid">
    <w:name w:val="Table Grid"/>
    <w:basedOn w:val="TableNormal"/>
    <w:uiPriority w:val="39"/>
    <w:rsid w:val="00196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0CED"/>
    <w:pPr>
      <w:ind w:left="720"/>
      <w:contextualSpacing/>
    </w:pPr>
  </w:style>
  <w:style w:type="character" w:styleId="UnresolvedMention">
    <w:name w:val="Unresolved Mention"/>
    <w:basedOn w:val="DefaultParagraphFont"/>
    <w:uiPriority w:val="99"/>
    <w:semiHidden/>
    <w:unhideWhenUsed/>
    <w:rsid w:val="00781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pjp.ulm.ac.id/journal/index.php/JPKMI/article/view/7456" TargetMode="External"/><Relationship Id="rId13" Type="http://schemas.openxmlformats.org/officeDocument/2006/relationships/hyperlink" Target="https://www.unicef.org/indonesia/media/21091/fil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stunting.go.id/bappenas-buku-juknis-aksi-1-2-3" TargetMode="External"/><Relationship Id="rId12" Type="http://schemas.openxmlformats.org/officeDocument/2006/relationships/hyperlink" Target="https://peraturan.bpk.go.id/Home/Details/174964/perpres-no-72-tahun-202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111/j.1467-7679.2007.00385.x" TargetMode="External"/><Relationship Id="rId1" Type="http://schemas.openxmlformats.org/officeDocument/2006/relationships/customXml" Target="../customXml/item1.xml"/><Relationship Id="rId6" Type="http://schemas.openxmlformats.org/officeDocument/2006/relationships/hyperlink" Target="mailto:mochamadchamim2013@gmail.com" TargetMode="External"/><Relationship Id="rId11" Type="http://schemas.openxmlformats.org/officeDocument/2006/relationships/hyperlink" Target="https://jurnal.ugm.ac.id/jkki/article/download/90281/38122" TargetMode="External"/><Relationship Id="rId5" Type="http://schemas.openxmlformats.org/officeDocument/2006/relationships/webSettings" Target="webSettings.xml"/><Relationship Id="rId15" Type="http://schemas.openxmlformats.org/officeDocument/2006/relationships/hyperlink" Target="https://doi.org/10.1093/heapol/9.4.353" TargetMode="External"/><Relationship Id="rId10" Type="http://schemas.openxmlformats.org/officeDocument/2006/relationships/hyperlink" Target="https://journalpublicuho.uho.ac.id/index.php/journal/article/download/281/177/2081" TargetMode="External"/><Relationship Id="rId4" Type="http://schemas.openxmlformats.org/officeDocument/2006/relationships/settings" Target="settings.xml"/><Relationship Id="rId9" Type="http://schemas.openxmlformats.org/officeDocument/2006/relationships/hyperlink" Target="https://stunting.go.id/ssgi-2024-prevalensi-stunting-nasional-turun-jadi-198-capai-angka-di-bawah-proyeksi-bappenas" TargetMode="External"/><Relationship Id="rId14" Type="http://schemas.openxmlformats.org/officeDocument/2006/relationships/hyperlink" Target="https://www.who.int/publications/i/item/WHO-IER-CSDH-08.1"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7E528-F5F3-452F-8F61-90FE95C7B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2667</Words>
  <Characters>15204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Mardiyana Mardiyana</dc:creator>
  <cp:keywords/>
  <dc:description/>
  <cp:lastModifiedBy>indra kris</cp:lastModifiedBy>
  <cp:revision>2</cp:revision>
  <dcterms:created xsi:type="dcterms:W3CDTF">2026-07-14T04:30:00Z</dcterms:created>
  <dcterms:modified xsi:type="dcterms:W3CDTF">2026-07-14T04:30:00Z</dcterms:modified>
</cp:coreProperties>
</file>